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01FFB" w14:textId="10F5B36A" w:rsidR="00214F94" w:rsidRPr="009A4E33" w:rsidRDefault="00BB44CF" w:rsidP="00214F94">
      <w:pPr>
        <w:pStyle w:val="Default"/>
        <w:jc w:val="center"/>
        <w:rPr>
          <w:rFonts w:ascii="Comenia Serif" w:hAnsi="Comenia Serif"/>
        </w:rPr>
      </w:pPr>
      <w:r>
        <w:rPr>
          <w:rFonts w:ascii="Comenia Serif" w:hAnsi="Comenia Serif"/>
          <w:b/>
          <w:bCs/>
        </w:rPr>
        <w:t>Závěrečná</w:t>
      </w:r>
      <w:r w:rsidR="00214F94" w:rsidRPr="009A4E33">
        <w:rPr>
          <w:rFonts w:ascii="Comenia Serif" w:hAnsi="Comenia Serif"/>
          <w:b/>
          <w:bCs/>
        </w:rPr>
        <w:t xml:space="preserve"> zpráva grantového projektu zakázka č.</w:t>
      </w:r>
      <w:r w:rsidR="00E84B05" w:rsidRPr="00E84B05">
        <w:t xml:space="preserve"> </w:t>
      </w:r>
      <w:r w:rsidR="00E84B05" w:rsidRPr="00E84B05">
        <w:rPr>
          <w:rFonts w:ascii="Comenia Serif" w:hAnsi="Comenia Serif"/>
          <w:b/>
          <w:bCs/>
        </w:rPr>
        <w:t>2103</w:t>
      </w:r>
    </w:p>
    <w:p w14:paraId="1B07CBA2" w14:textId="71F975D7" w:rsidR="00214F94" w:rsidRPr="009A4E33" w:rsidRDefault="00214F94" w:rsidP="00214F94">
      <w:pPr>
        <w:pStyle w:val="Default"/>
        <w:jc w:val="center"/>
        <w:rPr>
          <w:rFonts w:ascii="Comenia Serif" w:hAnsi="Comenia Serif"/>
          <w:sz w:val="20"/>
          <w:szCs w:val="20"/>
        </w:rPr>
      </w:pPr>
      <w:r w:rsidRPr="00160C55">
        <w:rPr>
          <w:rFonts w:ascii="Comenia Serif" w:hAnsi="Comenia Serif"/>
          <w:sz w:val="20"/>
          <w:szCs w:val="20"/>
        </w:rPr>
        <w:t xml:space="preserve">(specifický výzkum v roce </w:t>
      </w:r>
      <w:r w:rsidRPr="008F3508">
        <w:rPr>
          <w:rFonts w:ascii="Comenia Serif" w:hAnsi="Comenia Serif"/>
          <w:color w:val="auto"/>
          <w:sz w:val="20"/>
          <w:szCs w:val="20"/>
        </w:rPr>
        <w:t>20</w:t>
      </w:r>
      <w:r w:rsidR="002420DC" w:rsidRPr="008F3508">
        <w:rPr>
          <w:rFonts w:ascii="Comenia Serif" w:hAnsi="Comenia Serif"/>
          <w:color w:val="auto"/>
          <w:sz w:val="20"/>
          <w:szCs w:val="20"/>
        </w:rPr>
        <w:t>2</w:t>
      </w:r>
      <w:r w:rsidR="00E3671C" w:rsidRPr="008F3508">
        <w:rPr>
          <w:rFonts w:ascii="Comenia Serif" w:hAnsi="Comenia Serif"/>
          <w:color w:val="auto"/>
          <w:sz w:val="20"/>
          <w:szCs w:val="20"/>
        </w:rPr>
        <w:t>4</w:t>
      </w:r>
      <w:r w:rsidRPr="00160C55">
        <w:rPr>
          <w:rFonts w:ascii="Comenia Serif" w:hAnsi="Comenia Serif"/>
          <w:sz w:val="20"/>
          <w:szCs w:val="20"/>
        </w:rPr>
        <w:t>)</w:t>
      </w:r>
    </w:p>
    <w:p w14:paraId="151BCB77" w14:textId="77777777" w:rsidR="00214F94" w:rsidRPr="009A4E33" w:rsidRDefault="00214F94" w:rsidP="00214F94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66593DE3" w14:textId="57B1C21C" w:rsidR="00214F94" w:rsidRPr="009A4E33" w:rsidRDefault="00214F94" w:rsidP="003D0D21">
      <w:pPr>
        <w:pStyle w:val="Default"/>
        <w:ind w:left="2694" w:hanging="2694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Název projektu </w:t>
      </w:r>
      <w:r w:rsidR="00C7464F">
        <w:rPr>
          <w:rFonts w:ascii="Comenia Serif" w:hAnsi="Comenia Serif"/>
          <w:sz w:val="20"/>
          <w:szCs w:val="20"/>
        </w:rPr>
        <w:t>(80 znaků):</w:t>
      </w:r>
      <w:r w:rsidR="00C7464F" w:rsidRPr="00C7464F">
        <w:rPr>
          <w:rFonts w:ascii="Comenia Serif" w:hAnsi="Comenia Serif"/>
          <w:sz w:val="20"/>
          <w:szCs w:val="20"/>
        </w:rPr>
        <w:t xml:space="preserve"> </w:t>
      </w:r>
      <w:r w:rsidR="0060302A" w:rsidRPr="0060302A">
        <w:rPr>
          <w:rFonts w:ascii="Comenia Serif" w:hAnsi="Comenia Serif"/>
          <w:sz w:val="20"/>
          <w:szCs w:val="20"/>
        </w:rPr>
        <w:t>Ekonomické dopady v podmínkách konceptu Průmysl 4.0, Společností 5.0 &amp; 6.0</w:t>
      </w:r>
    </w:p>
    <w:p w14:paraId="08A82D5F" w14:textId="77777777" w:rsidR="00214F94" w:rsidRPr="009A4E33" w:rsidRDefault="00214F94" w:rsidP="00214F94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36E14B50" w14:textId="37C53E46" w:rsidR="00214F94" w:rsidRPr="009A4E33" w:rsidRDefault="00214F94" w:rsidP="00214F94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>Specifikace řešitelského týmu</w:t>
      </w:r>
    </w:p>
    <w:p w14:paraId="7C12FF92" w14:textId="77777777" w:rsidR="00214F94" w:rsidRPr="009A4E33" w:rsidRDefault="00214F94" w:rsidP="00214F94">
      <w:pPr>
        <w:pStyle w:val="Default"/>
        <w:rPr>
          <w:rFonts w:ascii="Comenia Serif" w:hAnsi="Comenia Serif"/>
          <w:sz w:val="20"/>
          <w:szCs w:val="20"/>
        </w:rPr>
      </w:pPr>
    </w:p>
    <w:p w14:paraId="7FE37720" w14:textId="0D424CAC" w:rsidR="00214F94" w:rsidRPr="00592716" w:rsidRDefault="00214F94" w:rsidP="00214F94">
      <w:pPr>
        <w:pStyle w:val="Default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Odpovědný řešitel: </w:t>
      </w:r>
      <w:r w:rsidR="002420DC" w:rsidRPr="002420DC">
        <w:rPr>
          <w:rFonts w:ascii="Comenia Serif" w:hAnsi="Comenia Serif"/>
          <w:sz w:val="20"/>
          <w:szCs w:val="20"/>
        </w:rPr>
        <w:t xml:space="preserve">Ing. Jan </w:t>
      </w:r>
      <w:r w:rsidR="002420DC" w:rsidRPr="00592716">
        <w:rPr>
          <w:rFonts w:ascii="Comenia Serif" w:hAnsi="Comenia Serif"/>
          <w:sz w:val="20"/>
          <w:szCs w:val="20"/>
        </w:rPr>
        <w:t>Mačí, Ph.D.</w:t>
      </w:r>
    </w:p>
    <w:p w14:paraId="545E06D4" w14:textId="77777777" w:rsidR="00C7464F" w:rsidRPr="00592716" w:rsidRDefault="00C7464F" w:rsidP="00214F94">
      <w:pPr>
        <w:pStyle w:val="Default"/>
        <w:rPr>
          <w:rFonts w:ascii="Comenia Serif" w:hAnsi="Comenia Serif"/>
          <w:sz w:val="20"/>
          <w:szCs w:val="20"/>
        </w:rPr>
      </w:pPr>
    </w:p>
    <w:p w14:paraId="3EEB9437" w14:textId="62DE7C6B" w:rsidR="00A428C0" w:rsidRPr="00592716" w:rsidRDefault="00214F94" w:rsidP="002420DC">
      <w:pPr>
        <w:jc w:val="both"/>
        <w:rPr>
          <w:rFonts w:ascii="Comenia Serif" w:hAnsi="Comenia Serif"/>
          <w:sz w:val="20"/>
          <w:szCs w:val="20"/>
        </w:rPr>
      </w:pPr>
      <w:r w:rsidRPr="00592716">
        <w:rPr>
          <w:rFonts w:ascii="Comenia Serif" w:hAnsi="Comenia Serif"/>
          <w:sz w:val="20"/>
          <w:szCs w:val="20"/>
        </w:rPr>
        <w:t xml:space="preserve">Studenti doktorského studia: </w:t>
      </w:r>
      <w:r w:rsidR="003D0D21">
        <w:rPr>
          <w:rFonts w:ascii="Comenia Serif" w:hAnsi="Comenia Serif"/>
          <w:sz w:val="20"/>
          <w:szCs w:val="20"/>
        </w:rPr>
        <w:t>Ing. Martin Matějíček, Ing.</w:t>
      </w:r>
      <w:r w:rsidR="003D0D21">
        <w:rPr>
          <w:rFonts w:ascii="Calibri" w:hAnsi="Calibri" w:cs="Calibri"/>
          <w:sz w:val="20"/>
          <w:szCs w:val="20"/>
        </w:rPr>
        <w:t> </w:t>
      </w:r>
      <w:r w:rsidR="003D0D21">
        <w:rPr>
          <w:rFonts w:ascii="Comenia Serif" w:hAnsi="Comenia Serif"/>
          <w:sz w:val="20"/>
          <w:szCs w:val="20"/>
        </w:rPr>
        <w:t xml:space="preserve">Michal Zilvar, Ing. </w:t>
      </w:r>
      <w:r w:rsidR="00A52D48">
        <w:rPr>
          <w:rFonts w:ascii="Comenia Serif" w:hAnsi="Comenia Serif"/>
          <w:sz w:val="20"/>
          <w:szCs w:val="20"/>
        </w:rPr>
        <w:t>Dominik Palla</w:t>
      </w:r>
      <w:r w:rsidR="00B52E15">
        <w:rPr>
          <w:rFonts w:ascii="Comenia Serif" w:hAnsi="Comenia Serif"/>
          <w:sz w:val="20"/>
          <w:szCs w:val="20"/>
        </w:rPr>
        <w:t>, Ing</w:t>
      </w:r>
      <w:r w:rsidR="00B52E15" w:rsidRPr="00AC3177">
        <w:rPr>
          <w:rFonts w:ascii="Comenia Serif" w:hAnsi="Comenia Serif"/>
          <w:sz w:val="20"/>
          <w:szCs w:val="20"/>
        </w:rPr>
        <w:t>.</w:t>
      </w:r>
      <w:r w:rsidR="00B52E15">
        <w:rPr>
          <w:rFonts w:ascii="Calibri" w:hAnsi="Calibri" w:cs="Calibri"/>
          <w:sz w:val="20"/>
          <w:szCs w:val="20"/>
        </w:rPr>
        <w:t> </w:t>
      </w:r>
      <w:r w:rsidR="00B52E15" w:rsidRPr="00AC3177">
        <w:rPr>
          <w:rFonts w:ascii="Comenia Serif" w:hAnsi="Comenia Serif"/>
          <w:sz w:val="20"/>
          <w:szCs w:val="20"/>
        </w:rPr>
        <w:t>Tomáš Krtička</w:t>
      </w:r>
      <w:r w:rsidR="00B52E15">
        <w:rPr>
          <w:rFonts w:ascii="Comenia Serif" w:hAnsi="Comenia Serif"/>
          <w:sz w:val="20"/>
          <w:szCs w:val="20"/>
        </w:rPr>
        <w:t xml:space="preserve"> (plynule navázal přechodem z navazujícího studia na dr. studium)</w:t>
      </w:r>
    </w:p>
    <w:p w14:paraId="3638C4C3" w14:textId="5A1D4D59" w:rsidR="00214F94" w:rsidRPr="00592716" w:rsidRDefault="00214F94" w:rsidP="00CE1847">
      <w:pPr>
        <w:jc w:val="both"/>
        <w:rPr>
          <w:rFonts w:ascii="Comenia Serif" w:hAnsi="Comenia Serif"/>
          <w:sz w:val="20"/>
          <w:szCs w:val="20"/>
        </w:rPr>
      </w:pPr>
    </w:p>
    <w:p w14:paraId="2FA18BD7" w14:textId="5EC8A24F" w:rsidR="00AC3177" w:rsidRDefault="00483D7D" w:rsidP="00483D7D">
      <w:pPr>
        <w:jc w:val="both"/>
        <w:rPr>
          <w:rFonts w:ascii="Comenia Serif" w:hAnsi="Comenia Serif"/>
          <w:sz w:val="20"/>
          <w:szCs w:val="20"/>
        </w:rPr>
      </w:pPr>
      <w:r w:rsidRPr="00592716">
        <w:rPr>
          <w:rFonts w:ascii="Comenia Serif" w:hAnsi="Comenia Serif"/>
          <w:sz w:val="20"/>
          <w:szCs w:val="20"/>
        </w:rPr>
        <w:t>Studenti magisterského studia:</w:t>
      </w:r>
      <w:r w:rsidR="00AC3177">
        <w:rPr>
          <w:rFonts w:ascii="Comenia Serif" w:hAnsi="Comenia Serif"/>
          <w:sz w:val="20"/>
          <w:szCs w:val="20"/>
        </w:rPr>
        <w:t xml:space="preserve"> </w:t>
      </w:r>
      <w:r w:rsidR="00AC3177" w:rsidRPr="00AC3177">
        <w:rPr>
          <w:rFonts w:ascii="Comenia Serif" w:hAnsi="Comenia Serif"/>
          <w:sz w:val="20"/>
          <w:szCs w:val="20"/>
        </w:rPr>
        <w:t xml:space="preserve">Bc. Tereza Karlová, Bc. Petra Skořepová, Bc. Ondřej </w:t>
      </w:r>
      <w:proofErr w:type="spellStart"/>
      <w:r w:rsidR="00AC3177" w:rsidRPr="00AC3177">
        <w:rPr>
          <w:rFonts w:ascii="Comenia Serif" w:hAnsi="Comenia Serif"/>
          <w:sz w:val="20"/>
          <w:szCs w:val="20"/>
        </w:rPr>
        <w:t>Kade</w:t>
      </w:r>
      <w:proofErr w:type="spellEnd"/>
      <w:r w:rsidR="00AC3177" w:rsidRPr="00AC3177">
        <w:rPr>
          <w:rFonts w:ascii="Comenia Serif" w:hAnsi="Comenia Serif"/>
          <w:sz w:val="20"/>
          <w:szCs w:val="20"/>
        </w:rPr>
        <w:t>, Bc.</w:t>
      </w:r>
      <w:r w:rsidR="00B702AD">
        <w:rPr>
          <w:rFonts w:ascii="Calibri" w:hAnsi="Calibri" w:cs="Calibri"/>
          <w:sz w:val="20"/>
          <w:szCs w:val="20"/>
        </w:rPr>
        <w:t> </w:t>
      </w:r>
      <w:r w:rsidR="00AC3177" w:rsidRPr="00AC3177">
        <w:rPr>
          <w:rFonts w:ascii="Comenia Serif" w:hAnsi="Comenia Serif"/>
          <w:sz w:val="20"/>
          <w:szCs w:val="20"/>
        </w:rPr>
        <w:t>Tomáš Krtička</w:t>
      </w:r>
      <w:r w:rsidR="00276E07">
        <w:rPr>
          <w:rFonts w:ascii="Comenia Serif" w:hAnsi="Comenia Serif"/>
          <w:sz w:val="20"/>
          <w:szCs w:val="20"/>
        </w:rPr>
        <w:t xml:space="preserve"> </w:t>
      </w:r>
      <w:r w:rsidR="00D07777">
        <w:rPr>
          <w:rFonts w:ascii="Comenia Serif" w:hAnsi="Comenia Serif"/>
          <w:sz w:val="20"/>
          <w:szCs w:val="20"/>
        </w:rPr>
        <w:t xml:space="preserve">(jako student </w:t>
      </w:r>
      <w:proofErr w:type="spellStart"/>
      <w:r w:rsidR="00D07777">
        <w:rPr>
          <w:rFonts w:ascii="Comenia Serif" w:hAnsi="Comenia Serif"/>
          <w:sz w:val="20"/>
          <w:szCs w:val="20"/>
        </w:rPr>
        <w:t>navaz</w:t>
      </w:r>
      <w:proofErr w:type="spellEnd"/>
      <w:r w:rsidR="00D07777">
        <w:rPr>
          <w:rFonts w:ascii="Comenia Serif" w:hAnsi="Comenia Serif"/>
          <w:sz w:val="20"/>
          <w:szCs w:val="20"/>
        </w:rPr>
        <w:t xml:space="preserve">. studia do </w:t>
      </w:r>
      <w:r w:rsidR="00DC0C78">
        <w:rPr>
          <w:rFonts w:ascii="Comenia Serif" w:hAnsi="Comenia Serif"/>
          <w:sz w:val="20"/>
          <w:szCs w:val="20"/>
        </w:rPr>
        <w:t>0</w:t>
      </w:r>
      <w:r w:rsidR="00743FDD">
        <w:rPr>
          <w:rFonts w:ascii="Comenia Serif" w:hAnsi="Comenia Serif"/>
          <w:sz w:val="20"/>
          <w:szCs w:val="20"/>
        </w:rPr>
        <w:t>5</w:t>
      </w:r>
      <w:r w:rsidR="00D03157">
        <w:rPr>
          <w:rFonts w:ascii="Comenia Serif" w:hAnsi="Comenia Serif"/>
          <w:sz w:val="20"/>
          <w:szCs w:val="20"/>
        </w:rPr>
        <w:t>/2024 z důvodu vykonání státní závěrečné zkoušky</w:t>
      </w:r>
      <w:r w:rsidR="00A62561">
        <w:rPr>
          <w:rFonts w:ascii="Comenia Serif" w:hAnsi="Comenia Serif"/>
          <w:sz w:val="20"/>
          <w:szCs w:val="20"/>
        </w:rPr>
        <w:t>)</w:t>
      </w:r>
      <w:r w:rsidR="00AC3177" w:rsidRPr="00AC3177">
        <w:rPr>
          <w:rFonts w:ascii="Comenia Serif" w:hAnsi="Comenia Serif"/>
          <w:sz w:val="20"/>
          <w:szCs w:val="20"/>
        </w:rPr>
        <w:t>, Bc. Filip Macháček, Bc. Veronika Morchová, Bc. Kateřina Jaklová</w:t>
      </w:r>
    </w:p>
    <w:p w14:paraId="082F953D" w14:textId="77777777" w:rsidR="00AC3177" w:rsidRDefault="00AC3177" w:rsidP="00483D7D">
      <w:pPr>
        <w:jc w:val="both"/>
        <w:rPr>
          <w:rFonts w:ascii="Comenia Serif" w:hAnsi="Comenia Serif"/>
          <w:sz w:val="20"/>
          <w:szCs w:val="20"/>
        </w:rPr>
      </w:pPr>
    </w:p>
    <w:p w14:paraId="043D347B" w14:textId="7AA73266" w:rsidR="003D0D21" w:rsidRDefault="003D0D21" w:rsidP="00214F94">
      <w:pPr>
        <w:pStyle w:val="Default"/>
        <w:rPr>
          <w:rFonts w:ascii="Comenia Serif" w:hAnsi="Comenia Serif"/>
          <w:sz w:val="20"/>
          <w:szCs w:val="20"/>
          <w:lang w:val="en-US"/>
        </w:rPr>
      </w:pPr>
      <w:r>
        <w:rPr>
          <w:rFonts w:ascii="Comenia Serif" w:hAnsi="Comenia Serif"/>
          <w:sz w:val="20"/>
          <w:szCs w:val="20"/>
        </w:rPr>
        <w:t>Školitelé doktorandů</w:t>
      </w:r>
      <w:r w:rsidRPr="00592716">
        <w:rPr>
          <w:rFonts w:ascii="Comenia Serif" w:hAnsi="Comenia Serif"/>
          <w:sz w:val="20"/>
          <w:szCs w:val="20"/>
        </w:rPr>
        <w:t>:</w:t>
      </w:r>
      <w:r>
        <w:rPr>
          <w:rFonts w:ascii="Comenia Serif" w:hAnsi="Comenia Serif"/>
          <w:sz w:val="20"/>
          <w:szCs w:val="20"/>
        </w:rPr>
        <w:t xml:space="preserve"> prof</w:t>
      </w:r>
      <w:r w:rsidRPr="00592716">
        <w:rPr>
          <w:rFonts w:ascii="Comenia Serif" w:hAnsi="Comenia Serif"/>
          <w:sz w:val="20"/>
          <w:szCs w:val="20"/>
        </w:rPr>
        <w:t>. Ing. Mgr. Petra Marešová</w:t>
      </w:r>
      <w:r>
        <w:rPr>
          <w:rFonts w:ascii="Comenia Serif" w:hAnsi="Comenia Serif"/>
          <w:sz w:val="20"/>
          <w:szCs w:val="20"/>
        </w:rPr>
        <w:t xml:space="preserve">, doc. </w:t>
      </w:r>
      <w:r w:rsidRPr="00592716">
        <w:rPr>
          <w:rFonts w:ascii="Comenia Serif" w:hAnsi="Comenia Serif"/>
          <w:sz w:val="20"/>
          <w:szCs w:val="20"/>
        </w:rPr>
        <w:t>Ing. Ivan Soukal, Ph.D.</w:t>
      </w:r>
      <w:r w:rsidR="00387BAB">
        <w:rPr>
          <w:rFonts w:ascii="Comenia Serif" w:hAnsi="Comenia Serif"/>
          <w:sz w:val="20"/>
          <w:szCs w:val="20"/>
        </w:rPr>
        <w:t xml:space="preserve">, </w:t>
      </w:r>
      <w:r w:rsidR="00387BAB" w:rsidRPr="00387BAB">
        <w:rPr>
          <w:rFonts w:ascii="Comenia Serif" w:hAnsi="Comenia Serif"/>
          <w:sz w:val="20"/>
          <w:szCs w:val="20"/>
        </w:rPr>
        <w:t>prof. RNDr. PhDr. Antonín Slabý, CSc.</w:t>
      </w:r>
    </w:p>
    <w:p w14:paraId="61312379" w14:textId="77777777" w:rsidR="003D0D21" w:rsidRPr="00592716" w:rsidRDefault="003D0D21" w:rsidP="00214F94">
      <w:pPr>
        <w:pStyle w:val="Default"/>
        <w:rPr>
          <w:rFonts w:ascii="Comenia Serif" w:hAnsi="Comenia Serif"/>
          <w:sz w:val="20"/>
          <w:szCs w:val="20"/>
          <w:lang w:val="en-US"/>
        </w:rPr>
      </w:pPr>
    </w:p>
    <w:p w14:paraId="692A320E" w14:textId="6DECF5E6" w:rsidR="00A428C0" w:rsidRDefault="00214F94" w:rsidP="00111272">
      <w:pPr>
        <w:rPr>
          <w:rFonts w:ascii="Comenia Serif" w:eastAsiaTheme="minorHAnsi" w:hAnsi="Comenia Serif"/>
          <w:sz w:val="20"/>
          <w:szCs w:val="20"/>
        </w:rPr>
      </w:pPr>
      <w:r w:rsidRPr="00592716">
        <w:rPr>
          <w:rFonts w:ascii="Comenia Serif" w:hAnsi="Comenia Serif"/>
          <w:sz w:val="20"/>
          <w:szCs w:val="20"/>
        </w:rPr>
        <w:t>Další výzkumní pracovníci:</w:t>
      </w:r>
      <w:r w:rsidR="002420DC" w:rsidRPr="00592716">
        <w:rPr>
          <w:rFonts w:ascii="Comenia Serif" w:eastAsiaTheme="minorHAnsi" w:hAnsi="Comenia Serif"/>
          <w:sz w:val="20"/>
          <w:szCs w:val="20"/>
        </w:rPr>
        <w:t xml:space="preserve"> </w:t>
      </w:r>
      <w:r w:rsidR="00164F30">
        <w:rPr>
          <w:rFonts w:ascii="Comenia Serif" w:hAnsi="Comenia Serif"/>
          <w:sz w:val="20"/>
          <w:szCs w:val="20"/>
        </w:rPr>
        <w:t>prof</w:t>
      </w:r>
      <w:r w:rsidR="00164F30" w:rsidRPr="001B63B6">
        <w:rPr>
          <w:rFonts w:ascii="Comenia Serif" w:hAnsi="Comenia Serif"/>
          <w:sz w:val="20"/>
          <w:szCs w:val="20"/>
        </w:rPr>
        <w:t>. Ing. Mgr. Petra Marešová, Ph.D.</w:t>
      </w:r>
      <w:r w:rsidR="00164F30">
        <w:rPr>
          <w:rFonts w:ascii="Comenia Serif" w:hAnsi="Comenia Serif"/>
          <w:sz w:val="20"/>
          <w:szCs w:val="20"/>
        </w:rPr>
        <w:t xml:space="preserve">, </w:t>
      </w:r>
      <w:r w:rsidR="002420DC" w:rsidRPr="00592716">
        <w:rPr>
          <w:rFonts w:ascii="Comenia Serif" w:eastAsiaTheme="minorHAnsi" w:hAnsi="Comenia Serif"/>
          <w:sz w:val="20"/>
          <w:szCs w:val="20"/>
        </w:rPr>
        <w:t>Ing.</w:t>
      </w:r>
      <w:r w:rsidR="0028417C">
        <w:rPr>
          <w:rFonts w:ascii="Calibri" w:eastAsiaTheme="minorHAnsi" w:hAnsi="Calibri" w:cs="Calibri"/>
          <w:sz w:val="20"/>
          <w:szCs w:val="20"/>
        </w:rPr>
        <w:t xml:space="preserve"> </w:t>
      </w:r>
      <w:r w:rsidR="002420DC" w:rsidRPr="00592716">
        <w:rPr>
          <w:rFonts w:ascii="Comenia Serif" w:eastAsiaTheme="minorHAnsi" w:hAnsi="Comenia Serif"/>
          <w:sz w:val="20"/>
          <w:szCs w:val="20"/>
        </w:rPr>
        <w:t>Martina Hedvičáková,</w:t>
      </w:r>
      <w:r w:rsidR="003C5A17">
        <w:rPr>
          <w:rFonts w:ascii="Calibri" w:eastAsiaTheme="minorHAnsi" w:hAnsi="Calibri" w:cs="Calibri"/>
          <w:sz w:val="20"/>
          <w:szCs w:val="20"/>
        </w:rPr>
        <w:t> </w:t>
      </w:r>
      <w:r w:rsidR="002420DC" w:rsidRPr="00592716">
        <w:rPr>
          <w:rFonts w:ascii="Comenia Serif" w:eastAsiaTheme="minorHAnsi" w:hAnsi="Comenia Serif"/>
          <w:sz w:val="20"/>
          <w:szCs w:val="20"/>
        </w:rPr>
        <w:t>Ph.D., Ing. Libuše Svobodová</w:t>
      </w:r>
      <w:r w:rsidR="001F430E">
        <w:rPr>
          <w:rFonts w:ascii="Comenia Serif" w:eastAsiaTheme="minorHAnsi" w:hAnsi="Comenia Serif"/>
          <w:sz w:val="20"/>
          <w:szCs w:val="20"/>
        </w:rPr>
        <w:t>, Ph.D.</w:t>
      </w:r>
      <w:r w:rsidR="002420DC" w:rsidRPr="00592716">
        <w:rPr>
          <w:rFonts w:ascii="Comenia Serif" w:eastAsiaTheme="minorHAnsi" w:hAnsi="Comenia Serif"/>
          <w:sz w:val="20"/>
          <w:szCs w:val="20"/>
        </w:rPr>
        <w:t xml:space="preserve">, Ing. Eva Hamplová, Ph.D., </w:t>
      </w:r>
      <w:r w:rsidR="00A47F7E" w:rsidRPr="00A47F7E">
        <w:rPr>
          <w:rFonts w:ascii="Comenia Serif" w:eastAsiaTheme="minorHAnsi" w:hAnsi="Comenia Serif"/>
          <w:sz w:val="20"/>
          <w:szCs w:val="20"/>
        </w:rPr>
        <w:t>Samuel Amponsah Odei, Ph.D.</w:t>
      </w:r>
    </w:p>
    <w:p w14:paraId="387F1C27" w14:textId="7F67C80D" w:rsidR="0051773D" w:rsidRDefault="0051773D" w:rsidP="00111272">
      <w:pPr>
        <w:rPr>
          <w:rFonts w:ascii="Comenia Serif" w:hAnsi="Comenia Serif"/>
          <w:sz w:val="20"/>
          <w:szCs w:val="20"/>
        </w:rPr>
      </w:pPr>
    </w:p>
    <w:p w14:paraId="4B728A4A" w14:textId="1D3F36EF" w:rsidR="0051773D" w:rsidRPr="00AC5CE2" w:rsidRDefault="0051773D" w:rsidP="00AC5CE2">
      <w:pPr>
        <w:pStyle w:val="Odstavecseseznamem"/>
        <w:numPr>
          <w:ilvl w:val="0"/>
          <w:numId w:val="17"/>
        </w:numPr>
        <w:rPr>
          <w:rFonts w:ascii="Comenia Serif" w:hAnsi="Comenia Serif"/>
          <w:sz w:val="20"/>
          <w:szCs w:val="20"/>
        </w:rPr>
      </w:pPr>
      <w:r w:rsidRPr="00AC5CE2">
        <w:rPr>
          <w:rFonts w:ascii="Comenia Serif" w:hAnsi="Comenia Serif"/>
          <w:sz w:val="20"/>
          <w:szCs w:val="20"/>
        </w:rPr>
        <w:t>Po celou dobu trvání projektu byla naplněna podmínka o minimálním počtu studentů vzhledem k počtu akademických pracovníků</w:t>
      </w:r>
      <w:r w:rsidR="00A47F7E">
        <w:rPr>
          <w:rFonts w:ascii="Comenia Serif" w:hAnsi="Comenia Serif"/>
          <w:sz w:val="20"/>
          <w:szCs w:val="20"/>
        </w:rPr>
        <w:t xml:space="preserve"> (viz článek V, bod 3 pokynů prorektora)</w:t>
      </w:r>
      <w:r w:rsidRPr="00AC5CE2">
        <w:rPr>
          <w:rFonts w:ascii="Comenia Serif" w:hAnsi="Comenia Serif"/>
          <w:sz w:val="20"/>
          <w:szCs w:val="20"/>
        </w:rPr>
        <w:t>.</w:t>
      </w:r>
    </w:p>
    <w:p w14:paraId="17FA0692" w14:textId="5848B5F2" w:rsidR="00214F94" w:rsidRPr="009A4E33" w:rsidRDefault="00214F94" w:rsidP="00214F94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6DDAC031" w14:textId="6E56346E" w:rsidR="00214F94" w:rsidRPr="002716CA" w:rsidRDefault="00214F94" w:rsidP="00214F94">
      <w:pPr>
        <w:pStyle w:val="Default"/>
        <w:rPr>
          <w:rFonts w:ascii="Comenia Serif" w:hAnsi="Comenia Serif"/>
          <w:b/>
          <w:bCs/>
          <w:color w:val="auto"/>
          <w:sz w:val="20"/>
          <w:szCs w:val="20"/>
        </w:rPr>
      </w:pPr>
      <w:r w:rsidRPr="002716CA">
        <w:rPr>
          <w:rFonts w:ascii="Comenia Serif" w:hAnsi="Comenia Serif"/>
          <w:b/>
          <w:bCs/>
          <w:color w:val="auto"/>
          <w:sz w:val="20"/>
          <w:szCs w:val="20"/>
        </w:rPr>
        <w:t xml:space="preserve">Celková částka přidělené dotace: </w:t>
      </w:r>
      <w:r w:rsidR="00E95109">
        <w:rPr>
          <w:rFonts w:ascii="Comenia Serif" w:hAnsi="Comenia Serif"/>
          <w:b/>
          <w:bCs/>
          <w:color w:val="auto"/>
          <w:sz w:val="20"/>
          <w:szCs w:val="20"/>
        </w:rPr>
        <w:t>372</w:t>
      </w:r>
      <w:r w:rsidR="002716CA" w:rsidRPr="002716CA">
        <w:rPr>
          <w:rFonts w:ascii="Comenia Serif" w:hAnsi="Comenia Serif"/>
          <w:b/>
          <w:bCs/>
          <w:color w:val="auto"/>
          <w:sz w:val="20"/>
          <w:szCs w:val="20"/>
        </w:rPr>
        <w:t> </w:t>
      </w:r>
      <w:r w:rsidR="002C101F">
        <w:rPr>
          <w:rFonts w:ascii="Comenia Serif" w:hAnsi="Comenia Serif"/>
          <w:b/>
          <w:bCs/>
          <w:color w:val="auto"/>
          <w:sz w:val="20"/>
          <w:szCs w:val="20"/>
        </w:rPr>
        <w:t>081</w:t>
      </w:r>
      <w:r w:rsidR="0018300E" w:rsidRPr="002716CA">
        <w:rPr>
          <w:rFonts w:ascii="Comenia Serif" w:hAnsi="Comenia Serif"/>
          <w:b/>
          <w:bCs/>
          <w:color w:val="auto"/>
          <w:sz w:val="20"/>
          <w:szCs w:val="20"/>
        </w:rPr>
        <w:t>,00</w:t>
      </w:r>
      <w:r w:rsidR="00B20557" w:rsidRPr="002716CA">
        <w:rPr>
          <w:rFonts w:ascii="Comenia Serif" w:hAnsi="Comenia Serif"/>
          <w:b/>
          <w:bCs/>
          <w:color w:val="auto"/>
          <w:sz w:val="20"/>
          <w:szCs w:val="20"/>
        </w:rPr>
        <w:t xml:space="preserve"> Kč</w:t>
      </w:r>
    </w:p>
    <w:p w14:paraId="7C0BF7A1" w14:textId="77777777" w:rsidR="00214F94" w:rsidRPr="00C501CC" w:rsidRDefault="00214F94" w:rsidP="00214F94">
      <w:pPr>
        <w:pStyle w:val="Default"/>
        <w:rPr>
          <w:rFonts w:ascii="Comenia Serif" w:hAnsi="Comenia Serif"/>
          <w:b/>
          <w:bCs/>
          <w:color w:val="2E74B5" w:themeColor="accent1" w:themeShade="BF"/>
          <w:sz w:val="20"/>
          <w:szCs w:val="20"/>
        </w:rPr>
      </w:pPr>
    </w:p>
    <w:p w14:paraId="7227E7FA" w14:textId="7DC8987B" w:rsidR="00214F94" w:rsidRPr="002716CA" w:rsidRDefault="00214F94" w:rsidP="00214F94">
      <w:pPr>
        <w:pStyle w:val="Default"/>
        <w:rPr>
          <w:rFonts w:ascii="Comenia Serif" w:hAnsi="Comenia Serif"/>
          <w:b/>
          <w:color w:val="2E74B5" w:themeColor="accent1" w:themeShade="BF"/>
          <w:sz w:val="20"/>
          <w:szCs w:val="20"/>
        </w:rPr>
      </w:pPr>
      <w:r w:rsidRPr="002716CA">
        <w:rPr>
          <w:rFonts w:ascii="Comenia Serif" w:hAnsi="Comenia Serif"/>
          <w:b/>
          <w:bCs/>
          <w:color w:val="auto"/>
          <w:sz w:val="20"/>
          <w:szCs w:val="20"/>
        </w:rPr>
        <w:t>Způsobilé náklady projektu:</w:t>
      </w:r>
      <w:r w:rsidR="000046C8" w:rsidRPr="002716CA">
        <w:rPr>
          <w:rFonts w:ascii="Comenia Serif" w:hAnsi="Comenia Serif"/>
          <w:b/>
          <w:bCs/>
          <w:color w:val="auto"/>
          <w:sz w:val="20"/>
          <w:szCs w:val="20"/>
        </w:rPr>
        <w:t xml:space="preserve"> </w:t>
      </w:r>
      <w:r w:rsidR="002C101F">
        <w:rPr>
          <w:rFonts w:ascii="Comenia Serif" w:hAnsi="Comenia Serif"/>
          <w:b/>
          <w:bCs/>
          <w:color w:val="auto"/>
          <w:sz w:val="20"/>
          <w:szCs w:val="20"/>
        </w:rPr>
        <w:t>372</w:t>
      </w:r>
      <w:r w:rsidR="000046C8" w:rsidRPr="002716CA">
        <w:rPr>
          <w:rFonts w:ascii="Comenia Serif" w:hAnsi="Comenia Serif"/>
          <w:b/>
          <w:bCs/>
          <w:color w:val="auto"/>
          <w:sz w:val="20"/>
          <w:szCs w:val="20"/>
        </w:rPr>
        <w:t xml:space="preserve"> </w:t>
      </w:r>
      <w:r w:rsidR="002C101F">
        <w:rPr>
          <w:rFonts w:ascii="Comenia Serif" w:hAnsi="Comenia Serif"/>
          <w:b/>
          <w:bCs/>
          <w:color w:val="auto"/>
          <w:sz w:val="20"/>
          <w:szCs w:val="20"/>
        </w:rPr>
        <w:t>107</w:t>
      </w:r>
      <w:r w:rsidR="000046C8" w:rsidRPr="002716CA">
        <w:rPr>
          <w:rFonts w:ascii="Comenia Serif" w:hAnsi="Comenia Serif"/>
          <w:b/>
          <w:bCs/>
          <w:color w:val="auto"/>
          <w:sz w:val="20"/>
          <w:szCs w:val="20"/>
        </w:rPr>
        <w:t>,</w:t>
      </w:r>
      <w:r w:rsidR="002C101F">
        <w:rPr>
          <w:rFonts w:ascii="Comenia Serif" w:hAnsi="Comenia Serif"/>
          <w:b/>
          <w:bCs/>
          <w:color w:val="auto"/>
          <w:sz w:val="20"/>
          <w:szCs w:val="20"/>
        </w:rPr>
        <w:t>7</w:t>
      </w:r>
      <w:r w:rsidR="001F430E">
        <w:rPr>
          <w:rFonts w:ascii="Comenia Serif" w:hAnsi="Comenia Serif"/>
          <w:b/>
          <w:bCs/>
          <w:color w:val="auto"/>
          <w:sz w:val="20"/>
          <w:szCs w:val="20"/>
        </w:rPr>
        <w:t>2</w:t>
      </w:r>
      <w:r w:rsidR="00F53FAE" w:rsidRPr="002716CA">
        <w:rPr>
          <w:rFonts w:ascii="Comenia Serif" w:hAnsi="Comenia Serif"/>
          <w:b/>
          <w:bCs/>
          <w:color w:val="auto"/>
          <w:sz w:val="20"/>
          <w:szCs w:val="20"/>
        </w:rPr>
        <w:t xml:space="preserve"> </w:t>
      </w:r>
      <w:r w:rsidR="00B20557" w:rsidRPr="002716CA">
        <w:rPr>
          <w:rFonts w:ascii="Comenia Serif" w:hAnsi="Comenia Serif"/>
          <w:b/>
          <w:bCs/>
          <w:color w:val="auto"/>
          <w:sz w:val="20"/>
          <w:szCs w:val="20"/>
        </w:rPr>
        <w:t>Kč</w:t>
      </w:r>
    </w:p>
    <w:p w14:paraId="7FFB51D6" w14:textId="77777777" w:rsidR="00214F94" w:rsidRPr="00C501CC" w:rsidRDefault="00214F94" w:rsidP="00214F94">
      <w:pPr>
        <w:pStyle w:val="Default"/>
        <w:rPr>
          <w:rFonts w:ascii="Comenia Serif" w:hAnsi="Comenia Serif"/>
          <w:b/>
          <w:bCs/>
          <w:color w:val="2E74B5" w:themeColor="accent1" w:themeShade="BF"/>
          <w:sz w:val="20"/>
          <w:szCs w:val="20"/>
        </w:rPr>
      </w:pPr>
    </w:p>
    <w:p w14:paraId="677F6DDC" w14:textId="77777777" w:rsidR="00214F94" w:rsidRPr="002716CA" w:rsidRDefault="00214F94" w:rsidP="00214F94">
      <w:pPr>
        <w:pStyle w:val="Default"/>
        <w:rPr>
          <w:rFonts w:ascii="Comenia Serif" w:hAnsi="Comenia Serif"/>
          <w:b/>
          <w:bCs/>
          <w:color w:val="auto"/>
          <w:sz w:val="20"/>
          <w:szCs w:val="20"/>
        </w:rPr>
      </w:pPr>
      <w:r w:rsidRPr="002716CA">
        <w:rPr>
          <w:rFonts w:ascii="Comenia Serif" w:hAnsi="Comenia Serif"/>
          <w:b/>
          <w:bCs/>
          <w:color w:val="auto"/>
          <w:sz w:val="20"/>
          <w:szCs w:val="20"/>
        </w:rPr>
        <w:t xml:space="preserve">Přehled realizovaných výdajů: </w:t>
      </w:r>
    </w:p>
    <w:p w14:paraId="169259A2" w14:textId="74552A2D" w:rsidR="000479C3" w:rsidRPr="001E66A9" w:rsidRDefault="00C74D09" w:rsidP="000479C3">
      <w:pPr>
        <w:jc w:val="both"/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>F</w:t>
      </w:r>
      <w:r w:rsidR="000479C3" w:rsidRPr="00F33BA5">
        <w:rPr>
          <w:rFonts w:ascii="Comenia Serif" w:hAnsi="Comenia Serif"/>
          <w:sz w:val="20"/>
          <w:szCs w:val="20"/>
        </w:rPr>
        <w:t xml:space="preserve">inanční prostředky </w:t>
      </w:r>
      <w:r w:rsidR="000479C3" w:rsidRPr="001E66A9">
        <w:rPr>
          <w:rFonts w:ascii="Comenia Serif" w:hAnsi="Comenia Serif"/>
          <w:sz w:val="20"/>
          <w:szCs w:val="20"/>
        </w:rPr>
        <w:t xml:space="preserve">čerpalo celkem </w:t>
      </w:r>
      <w:r w:rsidR="001E4E8E" w:rsidRPr="001E66A9">
        <w:rPr>
          <w:rFonts w:ascii="Comenia Serif" w:hAnsi="Comenia Serif"/>
          <w:sz w:val="20"/>
          <w:szCs w:val="20"/>
        </w:rPr>
        <w:t>8</w:t>
      </w:r>
      <w:r w:rsidR="000479C3" w:rsidRPr="001E66A9">
        <w:rPr>
          <w:rFonts w:ascii="Comenia Serif" w:hAnsi="Comenia Serif"/>
          <w:sz w:val="20"/>
          <w:szCs w:val="20"/>
        </w:rPr>
        <w:t xml:space="preserve"> členů řešitelského týmu, z</w:t>
      </w:r>
      <w:r w:rsidR="000479C3" w:rsidRPr="001E66A9">
        <w:rPr>
          <w:rFonts w:ascii="Calibri" w:hAnsi="Calibri" w:cs="Calibri"/>
          <w:sz w:val="20"/>
          <w:szCs w:val="20"/>
        </w:rPr>
        <w:t> </w:t>
      </w:r>
      <w:r w:rsidR="000479C3" w:rsidRPr="001E66A9">
        <w:rPr>
          <w:rFonts w:ascii="Comenia Serif" w:hAnsi="Comenia Serif"/>
          <w:sz w:val="20"/>
          <w:szCs w:val="20"/>
        </w:rPr>
        <w:t xml:space="preserve">toho </w:t>
      </w:r>
      <w:r w:rsidR="00716FAC" w:rsidRPr="001E66A9">
        <w:rPr>
          <w:rFonts w:ascii="Comenia Serif" w:hAnsi="Comenia Serif"/>
          <w:sz w:val="20"/>
          <w:szCs w:val="20"/>
        </w:rPr>
        <w:t>5</w:t>
      </w:r>
      <w:r w:rsidR="000479C3" w:rsidRPr="001E66A9">
        <w:rPr>
          <w:rFonts w:ascii="Comenia Serif" w:hAnsi="Comenia Serif"/>
          <w:sz w:val="20"/>
          <w:szCs w:val="20"/>
        </w:rPr>
        <w:t xml:space="preserve"> studentů.</w:t>
      </w:r>
    </w:p>
    <w:p w14:paraId="1EA67926" w14:textId="77777777" w:rsidR="00214F94" w:rsidRPr="001E66A9" w:rsidRDefault="00214F94" w:rsidP="00214F94">
      <w:pPr>
        <w:pStyle w:val="Default"/>
        <w:rPr>
          <w:rFonts w:ascii="Comenia Serif" w:hAnsi="Comenia Serif"/>
          <w:b/>
          <w:bCs/>
          <w:color w:val="2E74B5" w:themeColor="accent1" w:themeShade="BF"/>
          <w:sz w:val="20"/>
          <w:szCs w:val="20"/>
        </w:rPr>
      </w:pPr>
    </w:p>
    <w:p w14:paraId="738273AE" w14:textId="2C49C689" w:rsidR="00214F94" w:rsidRPr="001E66A9" w:rsidRDefault="00214F94" w:rsidP="00214F94">
      <w:pPr>
        <w:pStyle w:val="Odstavecseseznamem"/>
        <w:numPr>
          <w:ilvl w:val="0"/>
          <w:numId w:val="3"/>
        </w:numPr>
        <w:jc w:val="both"/>
        <w:rPr>
          <w:rFonts w:ascii="Comenia Serif" w:hAnsi="Comenia Serif"/>
          <w:sz w:val="20"/>
          <w:szCs w:val="20"/>
        </w:rPr>
      </w:pPr>
      <w:r w:rsidRPr="001E66A9">
        <w:rPr>
          <w:rFonts w:ascii="Comenia Serif" w:hAnsi="Comenia Serif"/>
          <w:sz w:val="20"/>
          <w:szCs w:val="20"/>
        </w:rPr>
        <w:t xml:space="preserve"> osobní náklady </w:t>
      </w:r>
      <w:r w:rsidR="004B42AF" w:rsidRPr="001E66A9">
        <w:rPr>
          <w:rFonts w:ascii="Comenia Serif" w:hAnsi="Comenia Serif"/>
          <w:sz w:val="20"/>
          <w:szCs w:val="20"/>
        </w:rPr>
        <w:t>38</w:t>
      </w:r>
      <w:r w:rsidR="002716CA" w:rsidRPr="001E66A9">
        <w:rPr>
          <w:rFonts w:ascii="Comenia Serif" w:hAnsi="Comenia Serif"/>
          <w:sz w:val="20"/>
          <w:szCs w:val="20"/>
        </w:rPr>
        <w:t xml:space="preserve"> </w:t>
      </w:r>
      <w:r w:rsidR="00784B86" w:rsidRPr="001E66A9">
        <w:rPr>
          <w:rFonts w:ascii="Comenia Serif" w:hAnsi="Comenia Serif"/>
          <w:sz w:val="20"/>
          <w:szCs w:val="20"/>
        </w:rPr>
        <w:t>328</w:t>
      </w:r>
      <w:r w:rsidR="002716CA" w:rsidRPr="001E66A9">
        <w:rPr>
          <w:rFonts w:ascii="Comenia Serif" w:hAnsi="Comenia Serif"/>
          <w:sz w:val="20"/>
          <w:szCs w:val="20"/>
        </w:rPr>
        <w:t>,0</w:t>
      </w:r>
      <w:r w:rsidR="00784B86" w:rsidRPr="001E66A9">
        <w:rPr>
          <w:rFonts w:ascii="Comenia Serif" w:hAnsi="Comenia Serif"/>
          <w:sz w:val="20"/>
          <w:szCs w:val="20"/>
        </w:rPr>
        <w:t>0</w:t>
      </w:r>
      <w:r w:rsidR="00B74EDF" w:rsidRPr="001E66A9">
        <w:rPr>
          <w:rFonts w:ascii="Comenia Serif" w:hAnsi="Comenia Serif"/>
          <w:sz w:val="20"/>
          <w:szCs w:val="20"/>
        </w:rPr>
        <w:t xml:space="preserve"> </w:t>
      </w:r>
      <w:r w:rsidRPr="001E66A9">
        <w:rPr>
          <w:rFonts w:ascii="Comenia Serif" w:hAnsi="Comenia Serif"/>
          <w:sz w:val="20"/>
          <w:szCs w:val="20"/>
        </w:rPr>
        <w:t>Kč</w:t>
      </w:r>
    </w:p>
    <w:p w14:paraId="451D0AEE" w14:textId="77777777" w:rsidR="003572C9" w:rsidRPr="001E66A9" w:rsidRDefault="003572C9" w:rsidP="003572C9">
      <w:pPr>
        <w:ind w:left="1287"/>
        <w:jc w:val="both"/>
        <w:rPr>
          <w:rFonts w:ascii="Comenia Serif" w:hAnsi="Comenia Serif"/>
          <w:sz w:val="20"/>
          <w:szCs w:val="20"/>
        </w:rPr>
      </w:pPr>
    </w:p>
    <w:p w14:paraId="6B00CBAB" w14:textId="68DE6E8E" w:rsidR="003572C9" w:rsidRPr="001E66A9" w:rsidRDefault="003572C9" w:rsidP="003572C9">
      <w:pPr>
        <w:ind w:left="1287"/>
        <w:jc w:val="both"/>
        <w:rPr>
          <w:rFonts w:ascii="Comenia Serif" w:hAnsi="Comenia Serif"/>
          <w:sz w:val="20"/>
          <w:szCs w:val="20"/>
        </w:rPr>
      </w:pPr>
      <w:r w:rsidRPr="001E66A9">
        <w:rPr>
          <w:rFonts w:ascii="Comenia Serif" w:hAnsi="Comenia Serif"/>
          <w:sz w:val="20"/>
          <w:szCs w:val="20"/>
        </w:rPr>
        <w:t>Rozpočet osobních nákladů byl oproti plánu ponížen</w:t>
      </w:r>
      <w:r w:rsidR="00964008" w:rsidRPr="001E66A9">
        <w:rPr>
          <w:rFonts w:ascii="Comenia Serif" w:hAnsi="Comenia Serif"/>
          <w:sz w:val="20"/>
          <w:szCs w:val="20"/>
        </w:rPr>
        <w:t xml:space="preserve"> (původní částka </w:t>
      </w:r>
      <w:r w:rsidR="00913E46" w:rsidRPr="001E66A9">
        <w:rPr>
          <w:rFonts w:ascii="Comenia Serif" w:hAnsi="Comenia Serif"/>
          <w:sz w:val="20"/>
          <w:szCs w:val="20"/>
        </w:rPr>
        <w:t>9</w:t>
      </w:r>
      <w:r w:rsidR="001A5F92" w:rsidRPr="001E66A9">
        <w:rPr>
          <w:rFonts w:ascii="Comenia Serif" w:hAnsi="Comenia Serif"/>
          <w:sz w:val="20"/>
          <w:szCs w:val="20"/>
        </w:rPr>
        <w:t>0</w:t>
      </w:r>
      <w:r w:rsidR="00FE0A71" w:rsidRPr="001E66A9">
        <w:rPr>
          <w:rFonts w:ascii="Calibri" w:hAnsi="Calibri" w:cs="Calibri"/>
          <w:sz w:val="20"/>
          <w:szCs w:val="20"/>
        </w:rPr>
        <w:t> </w:t>
      </w:r>
      <w:r w:rsidR="00913E46" w:rsidRPr="001E66A9">
        <w:rPr>
          <w:rFonts w:ascii="Comenia Serif" w:hAnsi="Comenia Serif"/>
          <w:sz w:val="20"/>
          <w:szCs w:val="20"/>
        </w:rPr>
        <w:t>283</w:t>
      </w:r>
      <w:r w:rsidR="00FE0A71" w:rsidRPr="001E66A9">
        <w:rPr>
          <w:rFonts w:ascii="Comenia Serif" w:hAnsi="Comenia Serif"/>
          <w:sz w:val="20"/>
          <w:szCs w:val="20"/>
        </w:rPr>
        <w:t xml:space="preserve"> Kč, nová částka </w:t>
      </w:r>
      <w:r w:rsidR="00913E46" w:rsidRPr="001E66A9">
        <w:rPr>
          <w:rFonts w:ascii="Comenia Serif" w:hAnsi="Comenia Serif"/>
          <w:sz w:val="20"/>
          <w:szCs w:val="20"/>
        </w:rPr>
        <w:t>3</w:t>
      </w:r>
      <w:r w:rsidR="001A5F92" w:rsidRPr="001E66A9">
        <w:rPr>
          <w:rFonts w:ascii="Comenia Serif" w:hAnsi="Comenia Serif"/>
          <w:sz w:val="20"/>
          <w:szCs w:val="20"/>
        </w:rPr>
        <w:t>8</w:t>
      </w:r>
      <w:r w:rsidR="001A5F92" w:rsidRPr="001E66A9">
        <w:rPr>
          <w:rFonts w:ascii="Calibri" w:hAnsi="Calibri" w:cs="Calibri"/>
          <w:sz w:val="20"/>
          <w:szCs w:val="20"/>
        </w:rPr>
        <w:t> </w:t>
      </w:r>
      <w:r w:rsidR="00913E46" w:rsidRPr="001E66A9">
        <w:rPr>
          <w:rFonts w:ascii="Comenia Serif" w:hAnsi="Comenia Serif"/>
          <w:sz w:val="20"/>
          <w:szCs w:val="20"/>
        </w:rPr>
        <w:t>32</w:t>
      </w:r>
      <w:r w:rsidR="001A5F92" w:rsidRPr="001E66A9">
        <w:rPr>
          <w:rFonts w:ascii="Comenia Serif" w:hAnsi="Comenia Serif"/>
          <w:sz w:val="20"/>
          <w:szCs w:val="20"/>
        </w:rPr>
        <w:t>8,0</w:t>
      </w:r>
      <w:r w:rsidR="00913E46" w:rsidRPr="001E66A9">
        <w:rPr>
          <w:rFonts w:ascii="Comenia Serif" w:hAnsi="Comenia Serif"/>
          <w:sz w:val="20"/>
          <w:szCs w:val="20"/>
        </w:rPr>
        <w:t>0</w:t>
      </w:r>
      <w:r w:rsidR="00FE0A71" w:rsidRPr="001E66A9">
        <w:rPr>
          <w:rFonts w:ascii="Comenia Serif" w:hAnsi="Comenia Serif"/>
          <w:sz w:val="20"/>
          <w:szCs w:val="20"/>
        </w:rPr>
        <w:t xml:space="preserve"> Kč)</w:t>
      </w:r>
      <w:r w:rsidR="00584540" w:rsidRPr="001E66A9">
        <w:rPr>
          <w:rFonts w:ascii="Comenia Serif" w:hAnsi="Comenia Serif"/>
          <w:sz w:val="20"/>
          <w:szCs w:val="20"/>
        </w:rPr>
        <w:t xml:space="preserve">, a to </w:t>
      </w:r>
      <w:r w:rsidR="00241D3A" w:rsidRPr="001E66A9">
        <w:rPr>
          <w:rFonts w:ascii="Comenia Serif" w:hAnsi="Comenia Serif"/>
          <w:sz w:val="20"/>
          <w:szCs w:val="20"/>
        </w:rPr>
        <w:t>především z</w:t>
      </w:r>
      <w:r w:rsidR="00584540" w:rsidRPr="001E66A9">
        <w:rPr>
          <w:rFonts w:ascii="Comenia Serif" w:hAnsi="Comenia Serif"/>
          <w:sz w:val="20"/>
          <w:szCs w:val="20"/>
        </w:rPr>
        <w:t xml:space="preserve"> důvodu</w:t>
      </w:r>
      <w:r w:rsidRPr="001E66A9">
        <w:rPr>
          <w:rFonts w:ascii="Comenia Serif" w:hAnsi="Comenia Serif"/>
          <w:sz w:val="20"/>
          <w:szCs w:val="20"/>
        </w:rPr>
        <w:t xml:space="preserve"> </w:t>
      </w:r>
      <w:r w:rsidR="00901415" w:rsidRPr="001E66A9">
        <w:rPr>
          <w:rFonts w:ascii="Comenia Serif" w:hAnsi="Comenia Serif"/>
          <w:sz w:val="20"/>
          <w:szCs w:val="20"/>
        </w:rPr>
        <w:t xml:space="preserve">nižší </w:t>
      </w:r>
      <w:r w:rsidR="00972752" w:rsidRPr="001E66A9">
        <w:rPr>
          <w:rFonts w:ascii="Comenia Serif" w:hAnsi="Comenia Serif"/>
          <w:sz w:val="20"/>
          <w:szCs w:val="20"/>
        </w:rPr>
        <w:t xml:space="preserve">sofistikované výzkumné </w:t>
      </w:r>
      <w:r w:rsidR="00901415" w:rsidRPr="001E66A9">
        <w:rPr>
          <w:rFonts w:ascii="Comenia Serif" w:hAnsi="Comenia Serif"/>
          <w:sz w:val="20"/>
          <w:szCs w:val="20"/>
        </w:rPr>
        <w:t xml:space="preserve">aktivity studentů na straně jedné a potřebou financovat </w:t>
      </w:r>
      <w:r w:rsidR="00972752" w:rsidRPr="001E66A9">
        <w:rPr>
          <w:rFonts w:ascii="Comenia Serif" w:hAnsi="Comenia Serif"/>
          <w:sz w:val="20"/>
          <w:szCs w:val="20"/>
        </w:rPr>
        <w:t>publikační poplatky na straně druhé (vyšší než plánovaný počet publikací s poplatkem)</w:t>
      </w:r>
      <w:r w:rsidR="005E1CAB" w:rsidRPr="001E66A9">
        <w:rPr>
          <w:rFonts w:ascii="Comenia Serif" w:hAnsi="Comenia Serif"/>
          <w:sz w:val="20"/>
          <w:szCs w:val="20"/>
        </w:rPr>
        <w:t>.</w:t>
      </w:r>
    </w:p>
    <w:p w14:paraId="2621E3B9" w14:textId="77777777" w:rsidR="000479C3" w:rsidRPr="001E66A9" w:rsidRDefault="000479C3" w:rsidP="00214F94">
      <w:pPr>
        <w:jc w:val="both"/>
        <w:rPr>
          <w:rFonts w:ascii="Comenia Serif" w:hAnsi="Comenia Serif"/>
          <w:sz w:val="20"/>
          <w:szCs w:val="20"/>
        </w:rPr>
      </w:pPr>
    </w:p>
    <w:p w14:paraId="572F4E53" w14:textId="240B9164" w:rsidR="00214F94" w:rsidRPr="001E66A9" w:rsidRDefault="00214F94" w:rsidP="00214F94">
      <w:pPr>
        <w:pStyle w:val="Odstavecseseznamem"/>
        <w:numPr>
          <w:ilvl w:val="0"/>
          <w:numId w:val="3"/>
        </w:numPr>
        <w:jc w:val="both"/>
        <w:rPr>
          <w:rFonts w:ascii="Comenia Serif" w:hAnsi="Comenia Serif"/>
          <w:sz w:val="20"/>
          <w:szCs w:val="20"/>
        </w:rPr>
      </w:pPr>
      <w:r w:rsidRPr="001E66A9">
        <w:rPr>
          <w:rFonts w:ascii="Comenia Serif" w:hAnsi="Comenia Serif"/>
          <w:sz w:val="20"/>
          <w:szCs w:val="20"/>
        </w:rPr>
        <w:t>náklady na konference</w:t>
      </w:r>
      <w:r w:rsidR="00C03AFB" w:rsidRPr="001E66A9">
        <w:rPr>
          <w:rFonts w:ascii="Comenia Serif" w:hAnsi="Comenia Serif"/>
          <w:sz w:val="20"/>
          <w:szCs w:val="20"/>
        </w:rPr>
        <w:t xml:space="preserve"> a časopisecké publikace</w:t>
      </w:r>
      <w:r w:rsidRPr="001E66A9">
        <w:rPr>
          <w:rFonts w:ascii="Comenia Serif" w:hAnsi="Comenia Serif"/>
          <w:sz w:val="20"/>
          <w:szCs w:val="20"/>
        </w:rPr>
        <w:t xml:space="preserve"> </w:t>
      </w:r>
      <w:r w:rsidR="001A47D3" w:rsidRPr="001E66A9">
        <w:rPr>
          <w:rFonts w:ascii="Comenia Serif" w:hAnsi="Comenia Serif"/>
          <w:b/>
          <w:sz w:val="20"/>
          <w:szCs w:val="20"/>
        </w:rPr>
        <w:t>288</w:t>
      </w:r>
      <w:r w:rsidR="00C936B1" w:rsidRPr="001E66A9">
        <w:rPr>
          <w:rFonts w:ascii="Comenia Serif" w:hAnsi="Comenia Serif"/>
          <w:b/>
          <w:sz w:val="20"/>
          <w:szCs w:val="20"/>
        </w:rPr>
        <w:t xml:space="preserve"> </w:t>
      </w:r>
      <w:r w:rsidR="001A47D3" w:rsidRPr="001E66A9">
        <w:rPr>
          <w:rFonts w:ascii="Comenia Serif" w:hAnsi="Comenia Serif"/>
          <w:b/>
          <w:sz w:val="20"/>
          <w:szCs w:val="20"/>
        </w:rPr>
        <w:t>619</w:t>
      </w:r>
      <w:r w:rsidR="00D54822" w:rsidRPr="001E66A9">
        <w:rPr>
          <w:rFonts w:ascii="Comenia Serif" w:hAnsi="Comenia Serif"/>
          <w:b/>
          <w:sz w:val="20"/>
          <w:szCs w:val="20"/>
        </w:rPr>
        <w:t>,</w:t>
      </w:r>
      <w:r w:rsidR="001A47D3" w:rsidRPr="001E66A9">
        <w:rPr>
          <w:rFonts w:ascii="Comenia Serif" w:hAnsi="Comenia Serif"/>
          <w:b/>
          <w:sz w:val="20"/>
          <w:szCs w:val="20"/>
        </w:rPr>
        <w:t>61</w:t>
      </w:r>
      <w:r w:rsidR="000F0B3D" w:rsidRPr="001E66A9">
        <w:rPr>
          <w:rFonts w:ascii="Comenia Serif" w:hAnsi="Comenia Serif"/>
          <w:sz w:val="20"/>
          <w:szCs w:val="20"/>
        </w:rPr>
        <w:t xml:space="preserve"> </w:t>
      </w:r>
      <w:r w:rsidRPr="001E66A9">
        <w:rPr>
          <w:rFonts w:ascii="Comenia Serif" w:hAnsi="Comenia Serif"/>
          <w:sz w:val="20"/>
          <w:szCs w:val="20"/>
        </w:rPr>
        <w:t>Kč</w:t>
      </w:r>
    </w:p>
    <w:p w14:paraId="1C3B9612" w14:textId="036A4656" w:rsidR="003D5D00" w:rsidRPr="001E66A9" w:rsidRDefault="003D5D00" w:rsidP="003D5D00">
      <w:pPr>
        <w:pStyle w:val="Odstavecseseznamem"/>
        <w:numPr>
          <w:ilvl w:val="0"/>
          <w:numId w:val="5"/>
        </w:numPr>
        <w:jc w:val="both"/>
        <w:rPr>
          <w:rFonts w:ascii="Comenia Serif" w:hAnsi="Comenia Serif"/>
          <w:sz w:val="20"/>
          <w:szCs w:val="20"/>
        </w:rPr>
      </w:pPr>
      <w:r w:rsidRPr="001E66A9">
        <w:rPr>
          <w:rFonts w:ascii="Comenia Serif" w:hAnsi="Comenia Serif"/>
          <w:sz w:val="20"/>
          <w:szCs w:val="20"/>
        </w:rPr>
        <w:t>konferenční</w:t>
      </w:r>
      <w:r w:rsidR="006B769F" w:rsidRPr="001E66A9">
        <w:rPr>
          <w:rFonts w:ascii="Comenia Serif" w:hAnsi="Comenia Serif"/>
          <w:sz w:val="20"/>
          <w:szCs w:val="20"/>
        </w:rPr>
        <w:t xml:space="preserve"> a časopisecké</w:t>
      </w:r>
      <w:r w:rsidRPr="001E66A9">
        <w:rPr>
          <w:rFonts w:ascii="Comenia Serif" w:hAnsi="Comenia Serif"/>
          <w:sz w:val="20"/>
          <w:szCs w:val="20"/>
        </w:rPr>
        <w:t xml:space="preserve"> poplatky</w:t>
      </w:r>
      <w:r w:rsidR="008901CC" w:rsidRPr="001E66A9">
        <w:rPr>
          <w:rFonts w:ascii="Comenia Serif" w:hAnsi="Comenia Serif"/>
          <w:sz w:val="20"/>
          <w:szCs w:val="20"/>
        </w:rPr>
        <w:t xml:space="preserve"> </w:t>
      </w:r>
      <w:r w:rsidR="001A47D3" w:rsidRPr="001E66A9">
        <w:rPr>
          <w:rFonts w:ascii="Comenia Serif" w:hAnsi="Comenia Serif"/>
          <w:b/>
          <w:sz w:val="20"/>
          <w:szCs w:val="20"/>
        </w:rPr>
        <w:t>281 221,24</w:t>
      </w:r>
      <w:r w:rsidR="008901CC" w:rsidRPr="001E66A9">
        <w:rPr>
          <w:rFonts w:ascii="Comenia Serif" w:hAnsi="Comenia Serif"/>
          <w:sz w:val="20"/>
          <w:szCs w:val="20"/>
        </w:rPr>
        <w:t xml:space="preserve"> </w:t>
      </w:r>
      <w:r w:rsidRPr="001E66A9">
        <w:rPr>
          <w:rFonts w:ascii="Comenia Serif" w:hAnsi="Comenia Serif"/>
          <w:sz w:val="20"/>
          <w:szCs w:val="20"/>
        </w:rPr>
        <w:t>Kč a jejich stručné zdůvodnění</w:t>
      </w:r>
    </w:p>
    <w:p w14:paraId="6AC1DA54" w14:textId="11E3ADF8" w:rsidR="000F2FF2" w:rsidRPr="001E66A9" w:rsidRDefault="003D5D00" w:rsidP="000F2FF2">
      <w:pPr>
        <w:ind w:left="1560"/>
        <w:jc w:val="both"/>
        <w:rPr>
          <w:rFonts w:ascii="Comenia Serif" w:hAnsi="Comenia Serif"/>
          <w:sz w:val="20"/>
          <w:szCs w:val="20"/>
        </w:rPr>
      </w:pPr>
      <w:r w:rsidRPr="001E66A9">
        <w:rPr>
          <w:rFonts w:ascii="Comenia Serif" w:hAnsi="Comenia Serif"/>
          <w:i/>
          <w:iCs/>
          <w:sz w:val="20"/>
          <w:szCs w:val="20"/>
        </w:rPr>
        <w:t>Konferenční poplatky</w:t>
      </w:r>
      <w:r w:rsidRPr="001E66A9">
        <w:rPr>
          <w:rFonts w:ascii="Comenia Serif" w:hAnsi="Comenia Serif"/>
          <w:sz w:val="20"/>
          <w:szCs w:val="20"/>
        </w:rPr>
        <w:t xml:space="preserve"> </w:t>
      </w:r>
      <w:r w:rsidR="00781D54" w:rsidRPr="001E66A9">
        <w:rPr>
          <w:rFonts w:ascii="Comenia Serif" w:hAnsi="Comenia Serif"/>
          <w:sz w:val="20"/>
          <w:szCs w:val="20"/>
        </w:rPr>
        <w:t>ne</w:t>
      </w:r>
      <w:r w:rsidRPr="001E66A9">
        <w:rPr>
          <w:rFonts w:ascii="Comenia Serif" w:hAnsi="Comenia Serif"/>
          <w:sz w:val="20"/>
          <w:szCs w:val="20"/>
        </w:rPr>
        <w:t>byly</w:t>
      </w:r>
      <w:r w:rsidR="00781D54" w:rsidRPr="001E66A9">
        <w:rPr>
          <w:rFonts w:ascii="Comenia Serif" w:hAnsi="Comenia Serif"/>
          <w:sz w:val="20"/>
          <w:szCs w:val="20"/>
        </w:rPr>
        <w:t xml:space="preserve"> plánovány ani</w:t>
      </w:r>
      <w:r w:rsidRPr="001E66A9">
        <w:rPr>
          <w:rFonts w:ascii="Comenia Serif" w:hAnsi="Comenia Serif"/>
          <w:sz w:val="20"/>
          <w:szCs w:val="20"/>
        </w:rPr>
        <w:t xml:space="preserve"> vynaloženy</w:t>
      </w:r>
      <w:r w:rsidR="00781D54" w:rsidRPr="001E66A9">
        <w:rPr>
          <w:rFonts w:ascii="Comenia Serif" w:hAnsi="Comenia Serif"/>
          <w:sz w:val="20"/>
          <w:szCs w:val="20"/>
        </w:rPr>
        <w:t>.</w:t>
      </w:r>
    </w:p>
    <w:p w14:paraId="4B82D31A" w14:textId="249F8CCA" w:rsidR="000F2FF2" w:rsidRPr="001E66A9" w:rsidRDefault="000F2FF2" w:rsidP="000F2FF2">
      <w:pPr>
        <w:ind w:left="1560"/>
        <w:jc w:val="both"/>
        <w:rPr>
          <w:rFonts w:ascii="Comenia Serif" w:hAnsi="Comenia Serif" w:cs="Calibri"/>
          <w:sz w:val="20"/>
          <w:szCs w:val="20"/>
        </w:rPr>
      </w:pPr>
      <w:r w:rsidRPr="001E66A9">
        <w:rPr>
          <w:rFonts w:ascii="Comenia Serif" w:hAnsi="Comenia Serif"/>
          <w:i/>
          <w:iCs/>
          <w:sz w:val="20"/>
          <w:szCs w:val="20"/>
        </w:rPr>
        <w:t>Časopisecké poplatky</w:t>
      </w:r>
      <w:r w:rsidRPr="001E66A9">
        <w:rPr>
          <w:rFonts w:ascii="Comenia Serif" w:hAnsi="Comenia Serif"/>
          <w:sz w:val="20"/>
          <w:szCs w:val="20"/>
        </w:rPr>
        <w:t xml:space="preserve"> ve výši </w:t>
      </w:r>
      <w:r w:rsidR="00781D54" w:rsidRPr="001E66A9">
        <w:rPr>
          <w:rFonts w:ascii="Comenia Serif" w:hAnsi="Comenia Serif"/>
          <w:b/>
          <w:sz w:val="20"/>
          <w:szCs w:val="20"/>
        </w:rPr>
        <w:t>281 221,24</w:t>
      </w:r>
      <w:r w:rsidRPr="001E66A9">
        <w:rPr>
          <w:rFonts w:ascii="Comenia Serif" w:hAnsi="Comenia Serif" w:cs="Calibri"/>
          <w:sz w:val="20"/>
          <w:szCs w:val="20"/>
        </w:rPr>
        <w:t xml:space="preserve"> byly využity na </w:t>
      </w:r>
      <w:r w:rsidR="00E57DDC" w:rsidRPr="001E66A9">
        <w:rPr>
          <w:rFonts w:ascii="Comenia Serif" w:hAnsi="Comenia Serif" w:cs="Calibri"/>
          <w:sz w:val="20"/>
          <w:szCs w:val="20"/>
        </w:rPr>
        <w:t>uhrazení poplatků spojených s</w:t>
      </w:r>
      <w:r w:rsidR="00E57DDC" w:rsidRPr="001E66A9">
        <w:rPr>
          <w:rFonts w:ascii="Calibri" w:hAnsi="Calibri" w:cs="Calibri"/>
          <w:sz w:val="20"/>
          <w:szCs w:val="20"/>
        </w:rPr>
        <w:t> </w:t>
      </w:r>
      <w:r w:rsidR="00E57DDC" w:rsidRPr="001E66A9">
        <w:rPr>
          <w:rFonts w:ascii="Comenia Serif" w:hAnsi="Comenia Serif" w:cs="Calibri"/>
          <w:sz w:val="20"/>
          <w:szCs w:val="20"/>
        </w:rPr>
        <w:t>recenzním řízením a otištěním článků v</w:t>
      </w:r>
      <w:r w:rsidR="00E57DDC" w:rsidRPr="001E66A9">
        <w:rPr>
          <w:rFonts w:ascii="Calibri" w:hAnsi="Calibri" w:cs="Calibri"/>
          <w:sz w:val="20"/>
          <w:szCs w:val="20"/>
        </w:rPr>
        <w:t> </w:t>
      </w:r>
      <w:r w:rsidR="00E57DDC" w:rsidRPr="001E66A9">
        <w:rPr>
          <w:rFonts w:ascii="Comenia Serif" w:hAnsi="Comenia Serif" w:cs="Calibri"/>
          <w:sz w:val="20"/>
          <w:szCs w:val="20"/>
        </w:rPr>
        <w:t xml:space="preserve">časopisech </w:t>
      </w:r>
      <w:proofErr w:type="spellStart"/>
      <w:r w:rsidR="00E57DDC" w:rsidRPr="001E66A9">
        <w:rPr>
          <w:rFonts w:ascii="Comenia Serif" w:hAnsi="Comenia Serif" w:cs="Calibri"/>
          <w:sz w:val="20"/>
          <w:szCs w:val="20"/>
        </w:rPr>
        <w:t>databázovaných</w:t>
      </w:r>
      <w:proofErr w:type="spellEnd"/>
      <w:r w:rsidR="00E57DDC" w:rsidRPr="001E66A9">
        <w:rPr>
          <w:rFonts w:ascii="Comenia Serif" w:hAnsi="Comenia Serif" w:cs="Calibri"/>
          <w:sz w:val="20"/>
          <w:szCs w:val="20"/>
        </w:rPr>
        <w:t xml:space="preserve"> ve</w:t>
      </w:r>
      <w:r w:rsidR="000219B6" w:rsidRPr="001E66A9">
        <w:rPr>
          <w:rFonts w:ascii="Calibri" w:hAnsi="Calibri" w:cs="Calibri"/>
          <w:sz w:val="20"/>
          <w:szCs w:val="20"/>
        </w:rPr>
        <w:t> </w:t>
      </w:r>
      <w:proofErr w:type="spellStart"/>
      <w:r w:rsidR="00E57DDC" w:rsidRPr="001E66A9">
        <w:rPr>
          <w:rFonts w:ascii="Comenia Serif" w:hAnsi="Comenia Serif" w:cs="Calibri"/>
          <w:sz w:val="20"/>
          <w:szCs w:val="20"/>
        </w:rPr>
        <w:t>WoS</w:t>
      </w:r>
      <w:proofErr w:type="spellEnd"/>
      <w:r w:rsidR="00781D54" w:rsidRPr="001E66A9">
        <w:rPr>
          <w:rFonts w:ascii="Comenia Serif" w:hAnsi="Comenia Serif" w:cs="Calibri"/>
          <w:sz w:val="20"/>
          <w:szCs w:val="20"/>
        </w:rPr>
        <w:t xml:space="preserve"> nebo </w:t>
      </w:r>
      <w:proofErr w:type="spellStart"/>
      <w:r w:rsidR="00781D54" w:rsidRPr="001E66A9">
        <w:rPr>
          <w:rFonts w:ascii="Comenia Serif" w:hAnsi="Comenia Serif" w:cs="Calibri"/>
          <w:sz w:val="20"/>
          <w:szCs w:val="20"/>
        </w:rPr>
        <w:t>Scopus</w:t>
      </w:r>
      <w:proofErr w:type="spellEnd"/>
      <w:r w:rsidR="00E57DDC" w:rsidRPr="001E66A9">
        <w:rPr>
          <w:rFonts w:ascii="Comenia Serif" w:hAnsi="Comenia Serif" w:cs="Calibri"/>
          <w:sz w:val="20"/>
          <w:szCs w:val="20"/>
        </w:rPr>
        <w:t xml:space="preserve"> </w:t>
      </w:r>
      <w:r w:rsidR="007A2014" w:rsidRPr="001E66A9">
        <w:rPr>
          <w:rFonts w:ascii="Comenia Serif" w:hAnsi="Comenia Serif" w:cs="Calibri"/>
          <w:sz w:val="20"/>
          <w:szCs w:val="20"/>
        </w:rPr>
        <w:t>(</w:t>
      </w:r>
      <w:r w:rsidR="00F07D59" w:rsidRPr="001E66A9">
        <w:rPr>
          <w:rFonts w:ascii="Comenia Serif" w:hAnsi="Comenia Serif" w:cs="Calibri"/>
          <w:sz w:val="20"/>
          <w:szCs w:val="20"/>
        </w:rPr>
        <w:t xml:space="preserve">5x </w:t>
      </w:r>
      <w:proofErr w:type="spellStart"/>
      <w:r w:rsidR="00F07D59" w:rsidRPr="001E66A9">
        <w:rPr>
          <w:rFonts w:ascii="Comenia Serif" w:hAnsi="Comenia Serif" w:cs="Calibri"/>
          <w:sz w:val="20"/>
          <w:szCs w:val="20"/>
        </w:rPr>
        <w:t>Jimp</w:t>
      </w:r>
      <w:proofErr w:type="spellEnd"/>
      <w:r w:rsidR="00F07D59" w:rsidRPr="001E66A9">
        <w:rPr>
          <w:rFonts w:ascii="Comenia Serif" w:hAnsi="Comenia Serif" w:cs="Calibri"/>
          <w:sz w:val="20"/>
          <w:szCs w:val="20"/>
        </w:rPr>
        <w:t xml:space="preserve">, 4x ESCI nebo </w:t>
      </w:r>
      <w:proofErr w:type="spellStart"/>
      <w:r w:rsidR="00F07D59" w:rsidRPr="001E66A9">
        <w:rPr>
          <w:rFonts w:ascii="Comenia Serif" w:hAnsi="Comenia Serif" w:cs="Calibri"/>
          <w:sz w:val="20"/>
          <w:szCs w:val="20"/>
        </w:rPr>
        <w:t>Scopus</w:t>
      </w:r>
      <w:proofErr w:type="spellEnd"/>
      <w:r w:rsidR="007A2014" w:rsidRPr="001E66A9">
        <w:rPr>
          <w:rFonts w:ascii="Comenia Serif" w:hAnsi="Comenia Serif" w:cs="Calibri"/>
          <w:sz w:val="20"/>
          <w:szCs w:val="20"/>
        </w:rPr>
        <w:t>)</w:t>
      </w:r>
      <w:r w:rsidR="00E57DDC" w:rsidRPr="001E66A9">
        <w:rPr>
          <w:rFonts w:ascii="Comenia Serif" w:hAnsi="Comenia Serif" w:cs="Calibri"/>
          <w:sz w:val="20"/>
          <w:szCs w:val="20"/>
        </w:rPr>
        <w:t>.</w:t>
      </w:r>
    </w:p>
    <w:p w14:paraId="4D66E712" w14:textId="77777777" w:rsidR="003D5D00" w:rsidRPr="000E3A7D" w:rsidRDefault="003D5D00" w:rsidP="003D5D00">
      <w:pPr>
        <w:ind w:left="1560"/>
        <w:jc w:val="both"/>
        <w:rPr>
          <w:rFonts w:ascii="Comenia Serif" w:hAnsi="Comenia Serif"/>
          <w:sz w:val="20"/>
          <w:szCs w:val="20"/>
        </w:rPr>
      </w:pPr>
    </w:p>
    <w:p w14:paraId="56E78746" w14:textId="515E857B" w:rsidR="00356761" w:rsidRPr="001E66A9" w:rsidRDefault="00356761" w:rsidP="003D5D00">
      <w:pPr>
        <w:pStyle w:val="Odstavecseseznamem"/>
        <w:numPr>
          <w:ilvl w:val="0"/>
          <w:numId w:val="5"/>
        </w:numPr>
        <w:jc w:val="both"/>
        <w:rPr>
          <w:rFonts w:ascii="Comenia Serif" w:hAnsi="Comenia Serif"/>
          <w:sz w:val="20"/>
          <w:szCs w:val="20"/>
        </w:rPr>
      </w:pPr>
      <w:r w:rsidRPr="001E66A9">
        <w:rPr>
          <w:rFonts w:ascii="Comenia Serif" w:hAnsi="Comenia Serif"/>
          <w:sz w:val="20"/>
          <w:szCs w:val="20"/>
        </w:rPr>
        <w:t xml:space="preserve">cestovní výdaje </w:t>
      </w:r>
      <w:r w:rsidR="00D035B7" w:rsidRPr="001E66A9">
        <w:rPr>
          <w:rFonts w:ascii="Comenia Serif" w:hAnsi="Comenia Serif"/>
          <w:b/>
          <w:sz w:val="20"/>
          <w:szCs w:val="20"/>
        </w:rPr>
        <w:t>0</w:t>
      </w:r>
      <w:r w:rsidRPr="001E66A9">
        <w:rPr>
          <w:rFonts w:ascii="Comenia Serif" w:hAnsi="Comenia Serif"/>
          <w:b/>
          <w:sz w:val="20"/>
          <w:szCs w:val="20"/>
        </w:rPr>
        <w:t xml:space="preserve"> Kč</w:t>
      </w:r>
      <w:r w:rsidRPr="001E66A9">
        <w:rPr>
          <w:rFonts w:ascii="Comenia Serif" w:hAnsi="Comenia Serif"/>
          <w:sz w:val="20"/>
          <w:szCs w:val="20"/>
        </w:rPr>
        <w:t xml:space="preserve"> a jejich stručné zdůvodnění</w:t>
      </w:r>
    </w:p>
    <w:p w14:paraId="099389CF" w14:textId="1DCC8153" w:rsidR="00356761" w:rsidRPr="001E66A9" w:rsidRDefault="00D035B7" w:rsidP="00356761">
      <w:pPr>
        <w:pStyle w:val="Odstavecseseznamem"/>
        <w:ind w:left="1647"/>
        <w:jc w:val="both"/>
        <w:rPr>
          <w:rFonts w:ascii="Comenia Serif" w:hAnsi="Comenia Serif"/>
          <w:sz w:val="20"/>
          <w:szCs w:val="20"/>
        </w:rPr>
      </w:pPr>
      <w:r w:rsidRPr="001E66A9">
        <w:rPr>
          <w:rFonts w:ascii="Comenia Serif" w:hAnsi="Comenia Serif"/>
          <w:sz w:val="20"/>
          <w:szCs w:val="20"/>
        </w:rPr>
        <w:t>C</w:t>
      </w:r>
      <w:r w:rsidR="00356761" w:rsidRPr="001E66A9">
        <w:rPr>
          <w:rFonts w:ascii="Comenia Serif" w:hAnsi="Comenia Serif"/>
          <w:sz w:val="20"/>
          <w:szCs w:val="20"/>
        </w:rPr>
        <w:t xml:space="preserve">estovní výdaje </w:t>
      </w:r>
      <w:r w:rsidRPr="001E66A9">
        <w:rPr>
          <w:rFonts w:ascii="Comenia Serif" w:hAnsi="Comenia Serif"/>
          <w:sz w:val="20"/>
          <w:szCs w:val="20"/>
        </w:rPr>
        <w:t>nebyly realizovány</w:t>
      </w:r>
      <w:r w:rsidR="00356761" w:rsidRPr="001E66A9">
        <w:rPr>
          <w:rFonts w:ascii="Comenia Serif" w:hAnsi="Comenia Serif"/>
          <w:sz w:val="20"/>
          <w:szCs w:val="20"/>
        </w:rPr>
        <w:t>.</w:t>
      </w:r>
    </w:p>
    <w:p w14:paraId="7FBB77AD" w14:textId="0AA2C7DF" w:rsidR="003D5D00" w:rsidRPr="001E66A9" w:rsidRDefault="00356761" w:rsidP="003D5D00">
      <w:pPr>
        <w:pStyle w:val="Odstavecseseznamem"/>
        <w:numPr>
          <w:ilvl w:val="0"/>
          <w:numId w:val="5"/>
        </w:numPr>
        <w:jc w:val="both"/>
        <w:rPr>
          <w:rFonts w:ascii="Comenia Serif" w:hAnsi="Comenia Serif"/>
          <w:sz w:val="20"/>
          <w:szCs w:val="20"/>
        </w:rPr>
      </w:pPr>
      <w:r w:rsidRPr="001E66A9">
        <w:rPr>
          <w:rFonts w:ascii="Comenia Serif" w:hAnsi="Comenia Serif"/>
          <w:sz w:val="20"/>
          <w:szCs w:val="20"/>
        </w:rPr>
        <w:lastRenderedPageBreak/>
        <w:t>kurzové rozdíly (ztráty)</w:t>
      </w:r>
      <w:r w:rsidR="003D5D00" w:rsidRPr="001E66A9">
        <w:rPr>
          <w:rFonts w:ascii="Comenia Serif" w:hAnsi="Comenia Serif"/>
          <w:sz w:val="20"/>
          <w:szCs w:val="20"/>
        </w:rPr>
        <w:t xml:space="preserve"> </w:t>
      </w:r>
      <w:r w:rsidR="00D035B7" w:rsidRPr="001E66A9">
        <w:rPr>
          <w:rFonts w:ascii="Comenia Serif" w:hAnsi="Comenia Serif"/>
          <w:b/>
          <w:sz w:val="20"/>
          <w:szCs w:val="20"/>
        </w:rPr>
        <w:t>7</w:t>
      </w:r>
      <w:r w:rsidRPr="001E66A9">
        <w:rPr>
          <w:rFonts w:ascii="Comenia Serif" w:hAnsi="Comenia Serif"/>
          <w:b/>
          <w:sz w:val="20"/>
          <w:szCs w:val="20"/>
        </w:rPr>
        <w:t> </w:t>
      </w:r>
      <w:r w:rsidR="00D035B7" w:rsidRPr="001E66A9">
        <w:rPr>
          <w:rFonts w:ascii="Comenia Serif" w:hAnsi="Comenia Serif"/>
          <w:b/>
          <w:sz w:val="20"/>
          <w:szCs w:val="20"/>
        </w:rPr>
        <w:t>398</w:t>
      </w:r>
      <w:r w:rsidRPr="001E66A9">
        <w:rPr>
          <w:rFonts w:ascii="Comenia Serif" w:hAnsi="Comenia Serif"/>
          <w:b/>
          <w:sz w:val="20"/>
          <w:szCs w:val="20"/>
        </w:rPr>
        <w:t>,</w:t>
      </w:r>
      <w:r w:rsidR="00D035B7" w:rsidRPr="001E66A9">
        <w:rPr>
          <w:rFonts w:ascii="Comenia Serif" w:hAnsi="Comenia Serif"/>
          <w:b/>
          <w:sz w:val="20"/>
          <w:szCs w:val="20"/>
        </w:rPr>
        <w:t>37</w:t>
      </w:r>
      <w:r w:rsidR="007A5B4E" w:rsidRPr="001E66A9">
        <w:rPr>
          <w:rFonts w:ascii="Comenia Serif" w:hAnsi="Comenia Serif"/>
          <w:b/>
          <w:sz w:val="20"/>
          <w:szCs w:val="20"/>
        </w:rPr>
        <w:t xml:space="preserve"> Kč</w:t>
      </w:r>
      <w:r w:rsidR="007A5B4E" w:rsidRPr="001E66A9">
        <w:rPr>
          <w:rFonts w:ascii="Comenia Serif" w:hAnsi="Comenia Serif"/>
          <w:sz w:val="20"/>
          <w:szCs w:val="20"/>
        </w:rPr>
        <w:t xml:space="preserve"> </w:t>
      </w:r>
      <w:r w:rsidR="003D5D00" w:rsidRPr="001E66A9">
        <w:rPr>
          <w:rFonts w:ascii="Comenia Serif" w:hAnsi="Comenia Serif"/>
          <w:sz w:val="20"/>
          <w:szCs w:val="20"/>
        </w:rPr>
        <w:t>a jejich stručné zdůvodnění</w:t>
      </w:r>
    </w:p>
    <w:p w14:paraId="72F362BD" w14:textId="4C99655A" w:rsidR="00D63C49" w:rsidRDefault="00356761" w:rsidP="00D11536">
      <w:pPr>
        <w:ind w:left="1560"/>
        <w:jc w:val="both"/>
        <w:rPr>
          <w:rFonts w:ascii="Comenia Serif" w:hAnsi="Comenia Serif"/>
          <w:sz w:val="20"/>
          <w:szCs w:val="20"/>
        </w:rPr>
      </w:pPr>
      <w:r w:rsidRPr="001E66A9">
        <w:rPr>
          <w:rFonts w:ascii="Comenia Serif" w:hAnsi="Comenia Serif"/>
          <w:sz w:val="20"/>
          <w:szCs w:val="20"/>
        </w:rPr>
        <w:t>Kurzové ztráty vznikly v průběhu trvání projektu v souvislosti s platbami provedenými v zahraničních měnách –</w:t>
      </w:r>
      <w:r w:rsidR="00BB1B00" w:rsidRPr="001E66A9">
        <w:rPr>
          <w:rFonts w:ascii="Comenia Serif" w:hAnsi="Comenia Serif"/>
          <w:sz w:val="20"/>
          <w:szCs w:val="20"/>
        </w:rPr>
        <w:t xml:space="preserve"> </w:t>
      </w:r>
      <w:r w:rsidRPr="001E66A9">
        <w:rPr>
          <w:rFonts w:ascii="Comenia Serif" w:hAnsi="Comenia Serif"/>
          <w:sz w:val="20"/>
          <w:szCs w:val="20"/>
        </w:rPr>
        <w:t>časopisecké</w:t>
      </w:r>
      <w:r>
        <w:rPr>
          <w:rFonts w:ascii="Comenia Serif" w:hAnsi="Comenia Serif"/>
          <w:sz w:val="20"/>
          <w:szCs w:val="20"/>
        </w:rPr>
        <w:t xml:space="preserve"> poplatk</w:t>
      </w:r>
      <w:r w:rsidR="00BB1B00">
        <w:rPr>
          <w:rFonts w:ascii="Comenia Serif" w:hAnsi="Comenia Serif"/>
          <w:sz w:val="20"/>
          <w:szCs w:val="20"/>
        </w:rPr>
        <w:t>y</w:t>
      </w:r>
      <w:r w:rsidR="00724F12" w:rsidRPr="00724F12">
        <w:rPr>
          <w:rFonts w:ascii="Comenia Serif" w:hAnsi="Comenia Serif"/>
          <w:sz w:val="20"/>
          <w:szCs w:val="20"/>
        </w:rPr>
        <w:t>.</w:t>
      </w:r>
    </w:p>
    <w:p w14:paraId="186A0FD9" w14:textId="7E708060" w:rsidR="00110432" w:rsidRDefault="00110432" w:rsidP="007F2570">
      <w:pPr>
        <w:ind w:left="1276"/>
        <w:jc w:val="both"/>
        <w:rPr>
          <w:rFonts w:ascii="Comenia Serif" w:hAnsi="Comenia Serif"/>
          <w:sz w:val="20"/>
          <w:szCs w:val="20"/>
        </w:rPr>
      </w:pPr>
    </w:p>
    <w:p w14:paraId="3CF9E387" w14:textId="5F91401D" w:rsidR="007F2570" w:rsidRPr="00D11536" w:rsidRDefault="007F2570" w:rsidP="007F2570">
      <w:pPr>
        <w:ind w:left="1276"/>
        <w:jc w:val="both"/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 xml:space="preserve">Rozpočet nákladů </w:t>
      </w:r>
      <w:r w:rsidR="00FC4BB1">
        <w:rPr>
          <w:rFonts w:ascii="Comenia Serif" w:hAnsi="Comenia Serif"/>
          <w:sz w:val="20"/>
          <w:szCs w:val="20"/>
        </w:rPr>
        <w:t xml:space="preserve">na konference a časopisecké </w:t>
      </w:r>
      <w:r w:rsidR="008B6886">
        <w:rPr>
          <w:rFonts w:ascii="Comenia Serif" w:hAnsi="Comenia Serif"/>
          <w:sz w:val="20"/>
          <w:szCs w:val="20"/>
        </w:rPr>
        <w:t xml:space="preserve">publikace byl mírně navýšen (původní částka </w:t>
      </w:r>
      <w:r w:rsidR="008C0AE8">
        <w:rPr>
          <w:rFonts w:ascii="Comenia Serif" w:hAnsi="Comenia Serif"/>
          <w:sz w:val="20"/>
          <w:szCs w:val="20"/>
        </w:rPr>
        <w:t>232</w:t>
      </w:r>
      <w:r w:rsidR="008B6886">
        <w:rPr>
          <w:rFonts w:ascii="Calibri" w:hAnsi="Calibri" w:cs="Calibri"/>
          <w:sz w:val="20"/>
          <w:szCs w:val="20"/>
        </w:rPr>
        <w:t> </w:t>
      </w:r>
      <w:r w:rsidR="008C0AE8">
        <w:rPr>
          <w:rFonts w:ascii="Comenia Serif" w:hAnsi="Comenia Serif"/>
          <w:sz w:val="20"/>
          <w:szCs w:val="20"/>
        </w:rPr>
        <w:t>798</w:t>
      </w:r>
      <w:r w:rsidR="008B6886">
        <w:rPr>
          <w:rFonts w:ascii="Comenia Serif" w:hAnsi="Comenia Serif"/>
          <w:sz w:val="20"/>
          <w:szCs w:val="20"/>
        </w:rPr>
        <w:t xml:space="preserve"> Kč, nová částka </w:t>
      </w:r>
      <w:r w:rsidR="008C0AE8">
        <w:rPr>
          <w:rFonts w:ascii="Comenia Serif" w:hAnsi="Comenia Serif"/>
          <w:sz w:val="20"/>
          <w:szCs w:val="20"/>
        </w:rPr>
        <w:t>288</w:t>
      </w:r>
      <w:r w:rsidR="00880027">
        <w:rPr>
          <w:rFonts w:ascii="Calibri" w:hAnsi="Calibri" w:cs="Calibri"/>
          <w:sz w:val="20"/>
          <w:szCs w:val="20"/>
        </w:rPr>
        <w:t> </w:t>
      </w:r>
      <w:r w:rsidR="002430BE">
        <w:rPr>
          <w:rFonts w:ascii="Comenia Serif" w:hAnsi="Comenia Serif"/>
          <w:sz w:val="20"/>
          <w:szCs w:val="20"/>
        </w:rPr>
        <w:t>6</w:t>
      </w:r>
      <w:r w:rsidR="008C0AE8">
        <w:rPr>
          <w:rFonts w:ascii="Comenia Serif" w:hAnsi="Comenia Serif"/>
          <w:sz w:val="20"/>
          <w:szCs w:val="20"/>
        </w:rPr>
        <w:t>19</w:t>
      </w:r>
      <w:r w:rsidR="00880027">
        <w:rPr>
          <w:rFonts w:ascii="Comenia Serif" w:hAnsi="Comenia Serif"/>
          <w:sz w:val="20"/>
          <w:szCs w:val="20"/>
        </w:rPr>
        <w:t>,</w:t>
      </w:r>
      <w:r w:rsidR="008C0AE8">
        <w:rPr>
          <w:rFonts w:ascii="Comenia Serif" w:hAnsi="Comenia Serif"/>
          <w:sz w:val="20"/>
          <w:szCs w:val="20"/>
        </w:rPr>
        <w:t>61</w:t>
      </w:r>
      <w:r w:rsidR="008B6886">
        <w:rPr>
          <w:rFonts w:ascii="Comenia Serif" w:hAnsi="Comenia Serif"/>
          <w:sz w:val="20"/>
          <w:szCs w:val="20"/>
        </w:rPr>
        <w:t xml:space="preserve"> Kč),</w:t>
      </w:r>
      <w:r w:rsidR="00D9341E">
        <w:rPr>
          <w:rFonts w:ascii="Comenia Serif" w:hAnsi="Comenia Serif"/>
          <w:sz w:val="20"/>
          <w:szCs w:val="20"/>
        </w:rPr>
        <w:t xml:space="preserve"> a to zejména z</w:t>
      </w:r>
      <w:r w:rsidR="00AD7F2D">
        <w:rPr>
          <w:rFonts w:ascii="Calibri" w:hAnsi="Calibri" w:cs="Calibri"/>
          <w:sz w:val="20"/>
          <w:szCs w:val="20"/>
        </w:rPr>
        <w:t> </w:t>
      </w:r>
      <w:r w:rsidR="00D9341E">
        <w:rPr>
          <w:rFonts w:ascii="Comenia Serif" w:hAnsi="Comenia Serif"/>
          <w:sz w:val="20"/>
          <w:szCs w:val="20"/>
        </w:rPr>
        <w:t>důvodu</w:t>
      </w:r>
      <w:r w:rsidR="00AD7F2D">
        <w:rPr>
          <w:rFonts w:ascii="Comenia Serif" w:hAnsi="Comenia Serif"/>
          <w:sz w:val="20"/>
          <w:szCs w:val="20"/>
        </w:rPr>
        <w:t xml:space="preserve"> nejasných výsledků recenzních řízení</w:t>
      </w:r>
      <w:r w:rsidR="00E85CAD">
        <w:rPr>
          <w:rFonts w:ascii="Comenia Serif" w:hAnsi="Comenia Serif"/>
          <w:sz w:val="20"/>
          <w:szCs w:val="20"/>
        </w:rPr>
        <w:t>,</w:t>
      </w:r>
      <w:r w:rsidR="00AD7F2D">
        <w:rPr>
          <w:rFonts w:ascii="Comenia Serif" w:hAnsi="Comenia Serif"/>
          <w:sz w:val="20"/>
          <w:szCs w:val="20"/>
        </w:rPr>
        <w:t xml:space="preserve"> a </w:t>
      </w:r>
      <w:r w:rsidR="00E85CAD">
        <w:rPr>
          <w:rFonts w:ascii="Comenia Serif" w:hAnsi="Comenia Serif"/>
          <w:sz w:val="20"/>
          <w:szCs w:val="20"/>
        </w:rPr>
        <w:t>tedy</w:t>
      </w:r>
      <w:r w:rsidR="00D9341E">
        <w:rPr>
          <w:rFonts w:ascii="Comenia Serif" w:hAnsi="Comenia Serif"/>
          <w:sz w:val="20"/>
          <w:szCs w:val="20"/>
        </w:rPr>
        <w:t xml:space="preserve"> obtížně </w:t>
      </w:r>
      <w:r w:rsidR="000E744B">
        <w:rPr>
          <w:rFonts w:ascii="Comenia Serif" w:hAnsi="Comenia Serif"/>
          <w:sz w:val="20"/>
          <w:szCs w:val="20"/>
        </w:rPr>
        <w:t>předem určitelných konečných poplatků za</w:t>
      </w:r>
      <w:r w:rsidR="00A90D99">
        <w:rPr>
          <w:rFonts w:ascii="Calibri" w:hAnsi="Calibri" w:cs="Calibri"/>
          <w:sz w:val="20"/>
          <w:szCs w:val="20"/>
        </w:rPr>
        <w:t> </w:t>
      </w:r>
      <w:r w:rsidR="000E744B">
        <w:rPr>
          <w:rFonts w:ascii="Comenia Serif" w:hAnsi="Comenia Serif"/>
          <w:sz w:val="20"/>
          <w:szCs w:val="20"/>
        </w:rPr>
        <w:t xml:space="preserve">otištění </w:t>
      </w:r>
      <w:r w:rsidR="004A311B">
        <w:rPr>
          <w:rFonts w:ascii="Comenia Serif" w:hAnsi="Comenia Serif"/>
          <w:sz w:val="20"/>
          <w:szCs w:val="20"/>
        </w:rPr>
        <w:t>časopiseckého článku</w:t>
      </w:r>
      <w:r w:rsidR="00E03F0D">
        <w:rPr>
          <w:rFonts w:ascii="Comenia Serif" w:hAnsi="Comenia Serif"/>
          <w:sz w:val="20"/>
          <w:szCs w:val="20"/>
        </w:rPr>
        <w:t xml:space="preserve"> v</w:t>
      </w:r>
      <w:r w:rsidR="00E03F0D">
        <w:rPr>
          <w:rFonts w:ascii="Calibri" w:hAnsi="Calibri" w:cs="Calibri"/>
          <w:sz w:val="20"/>
          <w:szCs w:val="20"/>
        </w:rPr>
        <w:t> </w:t>
      </w:r>
      <w:r w:rsidR="00E03F0D">
        <w:rPr>
          <w:rFonts w:ascii="Comenia Serif" w:hAnsi="Comenia Serif"/>
          <w:sz w:val="20"/>
          <w:szCs w:val="20"/>
        </w:rPr>
        <w:t>konkrétním časopise či na konkrétní konferenci</w:t>
      </w:r>
      <w:r w:rsidR="004A311B">
        <w:rPr>
          <w:rFonts w:ascii="Comenia Serif" w:hAnsi="Comenia Serif"/>
          <w:sz w:val="20"/>
          <w:szCs w:val="20"/>
        </w:rPr>
        <w:t>.</w:t>
      </w:r>
      <w:r w:rsidR="00900076">
        <w:rPr>
          <w:rFonts w:ascii="Comenia Serif" w:hAnsi="Comenia Serif"/>
          <w:sz w:val="20"/>
          <w:szCs w:val="20"/>
        </w:rPr>
        <w:t xml:space="preserve"> Celková částka za</w:t>
      </w:r>
      <w:r w:rsidR="005648D1">
        <w:rPr>
          <w:rFonts w:ascii="Comenia Serif" w:hAnsi="Comenia Serif"/>
          <w:sz w:val="20"/>
          <w:szCs w:val="20"/>
        </w:rPr>
        <w:t xml:space="preserve"> kapitolu</w:t>
      </w:r>
      <w:r w:rsidR="00900076">
        <w:rPr>
          <w:rFonts w:ascii="Comenia Serif" w:hAnsi="Comenia Serif"/>
          <w:sz w:val="20"/>
          <w:szCs w:val="20"/>
        </w:rPr>
        <w:t xml:space="preserve"> </w:t>
      </w:r>
      <w:r w:rsidR="005648D1">
        <w:rPr>
          <w:rFonts w:ascii="Comenia Serif" w:hAnsi="Comenia Serif"/>
          <w:sz w:val="20"/>
          <w:szCs w:val="20"/>
        </w:rPr>
        <w:t>„</w:t>
      </w:r>
      <w:r w:rsidR="00900076">
        <w:rPr>
          <w:rFonts w:ascii="Comenia Serif" w:hAnsi="Comenia Serif"/>
          <w:sz w:val="20"/>
          <w:szCs w:val="20"/>
        </w:rPr>
        <w:t>konference a časopisecké publikace</w:t>
      </w:r>
      <w:r w:rsidR="005648D1">
        <w:rPr>
          <w:rFonts w:ascii="Comenia Serif" w:hAnsi="Comenia Serif"/>
          <w:sz w:val="20"/>
          <w:szCs w:val="20"/>
        </w:rPr>
        <w:t>“</w:t>
      </w:r>
      <w:r w:rsidR="00900076">
        <w:rPr>
          <w:rFonts w:ascii="Comenia Serif" w:hAnsi="Comenia Serif"/>
          <w:sz w:val="20"/>
          <w:szCs w:val="20"/>
        </w:rPr>
        <w:t xml:space="preserve"> obsahuje i položku kurzové ztráty</w:t>
      </w:r>
      <w:r w:rsidR="005648D1">
        <w:rPr>
          <w:rFonts w:ascii="Comenia Serif" w:hAnsi="Comenia Serif"/>
          <w:sz w:val="20"/>
          <w:szCs w:val="20"/>
        </w:rPr>
        <w:t>.</w:t>
      </w:r>
      <w:r w:rsidR="00900076">
        <w:rPr>
          <w:rFonts w:ascii="Comenia Serif" w:hAnsi="Comenia Serif"/>
          <w:sz w:val="20"/>
          <w:szCs w:val="20"/>
        </w:rPr>
        <w:t xml:space="preserve"> </w:t>
      </w:r>
      <w:r w:rsidR="005648D1">
        <w:rPr>
          <w:rFonts w:ascii="Comenia Serif" w:hAnsi="Comenia Serif"/>
          <w:sz w:val="20"/>
          <w:szCs w:val="20"/>
        </w:rPr>
        <w:t>Kurzové ztráty</w:t>
      </w:r>
      <w:r w:rsidR="00900076">
        <w:rPr>
          <w:rFonts w:ascii="Comenia Serif" w:hAnsi="Comenia Serif"/>
          <w:sz w:val="20"/>
          <w:szCs w:val="20"/>
        </w:rPr>
        <w:t xml:space="preserve"> se v projektu pojily výhradně s touto kapitolou.</w:t>
      </w:r>
    </w:p>
    <w:p w14:paraId="232F56A8" w14:textId="77777777" w:rsidR="00C81907" w:rsidRPr="003A71AD" w:rsidRDefault="00C81907" w:rsidP="003D5D00">
      <w:pPr>
        <w:jc w:val="both"/>
        <w:rPr>
          <w:rFonts w:ascii="Comenia Serif" w:hAnsi="Comenia Serif"/>
          <w:sz w:val="20"/>
          <w:szCs w:val="20"/>
        </w:rPr>
      </w:pPr>
    </w:p>
    <w:p w14:paraId="36B461D6" w14:textId="2CE61B3F" w:rsidR="00214F94" w:rsidRPr="001E66A9" w:rsidRDefault="00214F94" w:rsidP="00214F94">
      <w:pPr>
        <w:pStyle w:val="Odstavecseseznamem"/>
        <w:numPr>
          <w:ilvl w:val="0"/>
          <w:numId w:val="3"/>
        </w:numPr>
        <w:jc w:val="both"/>
        <w:rPr>
          <w:rFonts w:ascii="Comenia Serif" w:hAnsi="Comenia Serif"/>
          <w:sz w:val="20"/>
          <w:szCs w:val="20"/>
        </w:rPr>
      </w:pPr>
      <w:r w:rsidRPr="001E66A9">
        <w:rPr>
          <w:rFonts w:ascii="Comenia Serif" w:hAnsi="Comenia Serif"/>
          <w:sz w:val="20"/>
          <w:szCs w:val="20"/>
        </w:rPr>
        <w:t xml:space="preserve">další náklady </w:t>
      </w:r>
      <w:r w:rsidR="002A2AFD" w:rsidRPr="001E66A9">
        <w:rPr>
          <w:rFonts w:ascii="Comenia Serif" w:hAnsi="Comenia Serif"/>
          <w:b/>
          <w:sz w:val="20"/>
          <w:szCs w:val="20"/>
        </w:rPr>
        <w:t>45</w:t>
      </w:r>
      <w:r w:rsidR="00E57DDC" w:rsidRPr="001E66A9">
        <w:rPr>
          <w:rFonts w:ascii="Calibri" w:hAnsi="Calibri" w:cs="Calibri"/>
          <w:b/>
          <w:sz w:val="20"/>
          <w:szCs w:val="20"/>
        </w:rPr>
        <w:t> </w:t>
      </w:r>
      <w:r w:rsidR="002A2AFD" w:rsidRPr="001E66A9">
        <w:rPr>
          <w:rFonts w:ascii="Comenia Serif" w:hAnsi="Comenia Serif"/>
          <w:b/>
          <w:sz w:val="20"/>
          <w:szCs w:val="20"/>
        </w:rPr>
        <w:t>160</w:t>
      </w:r>
      <w:r w:rsidR="00B947A5" w:rsidRPr="001E66A9">
        <w:rPr>
          <w:rFonts w:ascii="Comenia Serif" w:hAnsi="Comenia Serif"/>
          <w:b/>
          <w:sz w:val="20"/>
          <w:szCs w:val="20"/>
        </w:rPr>
        <w:t>,</w:t>
      </w:r>
      <w:r w:rsidR="002A2AFD" w:rsidRPr="001E66A9">
        <w:rPr>
          <w:rFonts w:ascii="Comenia Serif" w:hAnsi="Comenia Serif"/>
          <w:b/>
          <w:sz w:val="20"/>
          <w:szCs w:val="20"/>
        </w:rPr>
        <w:t>11</w:t>
      </w:r>
      <w:r w:rsidR="00B947A5" w:rsidRPr="001E66A9">
        <w:rPr>
          <w:rFonts w:ascii="Comenia Serif" w:hAnsi="Comenia Serif"/>
          <w:b/>
          <w:sz w:val="20"/>
          <w:szCs w:val="20"/>
        </w:rPr>
        <w:t xml:space="preserve"> Kč</w:t>
      </w:r>
    </w:p>
    <w:p w14:paraId="411A3013" w14:textId="6EC5009F" w:rsidR="00214F94" w:rsidRPr="001E66A9" w:rsidRDefault="00214F94" w:rsidP="000046C8">
      <w:pPr>
        <w:pStyle w:val="Odstavecseseznamem"/>
        <w:numPr>
          <w:ilvl w:val="0"/>
          <w:numId w:val="6"/>
        </w:numPr>
        <w:jc w:val="both"/>
        <w:rPr>
          <w:rFonts w:ascii="Comenia Serif" w:hAnsi="Comenia Serif"/>
          <w:sz w:val="20"/>
          <w:szCs w:val="20"/>
        </w:rPr>
      </w:pPr>
      <w:r w:rsidRPr="001E66A9">
        <w:rPr>
          <w:rFonts w:ascii="Comenia Serif" w:hAnsi="Comenia Serif"/>
          <w:sz w:val="20"/>
          <w:szCs w:val="20"/>
        </w:rPr>
        <w:t xml:space="preserve">náklady nebo výdaje na pořízení hmotného a nehmotného majetku </w:t>
      </w:r>
      <w:r w:rsidRPr="001E66A9">
        <w:rPr>
          <w:rFonts w:ascii="Comenia Serif" w:hAnsi="Comenia Serif" w:cs="Times New Roman"/>
          <w:sz w:val="20"/>
          <w:szCs w:val="20"/>
        </w:rPr>
        <w:t xml:space="preserve">Kč a jejich stručné </w:t>
      </w:r>
      <w:r w:rsidRPr="001E66A9">
        <w:rPr>
          <w:rFonts w:ascii="Comenia Serif" w:hAnsi="Comenia Serif"/>
          <w:sz w:val="20"/>
          <w:szCs w:val="20"/>
        </w:rPr>
        <w:t>zdůvodnění</w:t>
      </w:r>
      <w:r w:rsidR="003A71AD" w:rsidRPr="001E66A9">
        <w:rPr>
          <w:rFonts w:ascii="Comenia Serif" w:hAnsi="Comenia Serif"/>
          <w:sz w:val="20"/>
          <w:szCs w:val="20"/>
        </w:rPr>
        <w:t xml:space="preserve"> </w:t>
      </w:r>
      <w:r w:rsidR="0083684F" w:rsidRPr="001E66A9">
        <w:rPr>
          <w:rFonts w:ascii="Comenia Serif" w:hAnsi="Comenia Serif"/>
          <w:sz w:val="20"/>
          <w:szCs w:val="20"/>
        </w:rPr>
        <w:t>24</w:t>
      </w:r>
      <w:r w:rsidR="00D87939" w:rsidRPr="001E66A9">
        <w:rPr>
          <w:rFonts w:ascii="Calibri" w:hAnsi="Calibri" w:cs="Calibri"/>
          <w:sz w:val="20"/>
          <w:szCs w:val="20"/>
        </w:rPr>
        <w:t> </w:t>
      </w:r>
      <w:r w:rsidR="0083684F" w:rsidRPr="001E66A9">
        <w:rPr>
          <w:rFonts w:ascii="Comenia Serif" w:hAnsi="Comenia Serif"/>
          <w:sz w:val="20"/>
          <w:szCs w:val="20"/>
        </w:rPr>
        <w:t>99</w:t>
      </w:r>
      <w:r w:rsidR="00CC0F93" w:rsidRPr="001E66A9">
        <w:rPr>
          <w:rFonts w:ascii="Comenia Serif" w:hAnsi="Comenia Serif"/>
          <w:sz w:val="20"/>
          <w:szCs w:val="20"/>
        </w:rPr>
        <w:t>9</w:t>
      </w:r>
      <w:r w:rsidR="00D87939" w:rsidRPr="001E66A9">
        <w:rPr>
          <w:rFonts w:ascii="Comenia Serif" w:hAnsi="Comenia Serif"/>
          <w:sz w:val="20"/>
          <w:szCs w:val="20"/>
        </w:rPr>
        <w:t>,</w:t>
      </w:r>
      <w:r w:rsidR="0083684F" w:rsidRPr="001E66A9">
        <w:rPr>
          <w:rFonts w:ascii="Comenia Serif" w:hAnsi="Comenia Serif"/>
          <w:sz w:val="20"/>
          <w:szCs w:val="20"/>
        </w:rPr>
        <w:t>00</w:t>
      </w:r>
      <w:r w:rsidR="003A71AD" w:rsidRPr="001E66A9">
        <w:rPr>
          <w:rFonts w:ascii="Comenia Serif" w:hAnsi="Comenia Serif"/>
          <w:sz w:val="20"/>
          <w:szCs w:val="20"/>
        </w:rPr>
        <w:t xml:space="preserve"> </w:t>
      </w:r>
      <w:r w:rsidR="00FB214D" w:rsidRPr="001E66A9">
        <w:rPr>
          <w:rFonts w:ascii="Comenia Serif" w:hAnsi="Comenia Serif"/>
          <w:sz w:val="20"/>
          <w:szCs w:val="20"/>
        </w:rPr>
        <w:t>Kč.</w:t>
      </w:r>
    </w:p>
    <w:p w14:paraId="0EF2A7E7" w14:textId="1B77ED44" w:rsidR="000046C8" w:rsidRPr="001E66A9" w:rsidRDefault="00FB214D" w:rsidP="00FB214D">
      <w:pPr>
        <w:pStyle w:val="Odstavecseseznamem"/>
        <w:ind w:left="1647"/>
        <w:jc w:val="both"/>
        <w:rPr>
          <w:rFonts w:ascii="Comenia Serif" w:hAnsi="Comenia Serif"/>
          <w:sz w:val="20"/>
          <w:szCs w:val="20"/>
        </w:rPr>
      </w:pPr>
      <w:r w:rsidRPr="001E66A9">
        <w:rPr>
          <w:rFonts w:ascii="Comenia Serif" w:hAnsi="Comenia Serif"/>
          <w:sz w:val="20"/>
          <w:szCs w:val="20"/>
        </w:rPr>
        <w:t>Byl</w:t>
      </w:r>
      <w:r w:rsidR="003A71AD" w:rsidRPr="001E66A9">
        <w:rPr>
          <w:rFonts w:ascii="Comenia Serif" w:hAnsi="Comenia Serif"/>
          <w:sz w:val="20"/>
          <w:szCs w:val="20"/>
        </w:rPr>
        <w:t xml:space="preserve"> nakoupen </w:t>
      </w:r>
      <w:r w:rsidR="000D6835" w:rsidRPr="001E66A9">
        <w:rPr>
          <w:rFonts w:ascii="Comenia Serif" w:hAnsi="Comenia Serif"/>
          <w:sz w:val="20"/>
          <w:szCs w:val="20"/>
        </w:rPr>
        <w:t>1 ks přenositelného notebooku se standardním SW vybavením pro účely realizace výzkumných záměrů</w:t>
      </w:r>
      <w:r w:rsidR="00E557CF" w:rsidRPr="001E66A9">
        <w:rPr>
          <w:rFonts w:ascii="Comenia Serif" w:hAnsi="Comenia Serif"/>
          <w:sz w:val="20"/>
          <w:szCs w:val="20"/>
        </w:rPr>
        <w:t xml:space="preserve"> a prezentace jejich výsledků</w:t>
      </w:r>
      <w:r w:rsidR="000D6835" w:rsidRPr="001E66A9">
        <w:rPr>
          <w:rFonts w:ascii="Comenia Serif" w:hAnsi="Comenia Serif"/>
          <w:sz w:val="20"/>
          <w:szCs w:val="20"/>
        </w:rPr>
        <w:t>. Trvalé umístění je u</w:t>
      </w:r>
      <w:r w:rsidR="000D6835" w:rsidRPr="001E66A9">
        <w:rPr>
          <w:rFonts w:ascii="Calibri" w:hAnsi="Calibri" w:cs="Calibri"/>
          <w:sz w:val="20"/>
          <w:szCs w:val="20"/>
        </w:rPr>
        <w:t> </w:t>
      </w:r>
      <w:r w:rsidR="000D6835" w:rsidRPr="001E66A9">
        <w:rPr>
          <w:rFonts w:ascii="Comenia Serif" w:hAnsi="Comenia Serif"/>
          <w:sz w:val="20"/>
          <w:szCs w:val="20"/>
        </w:rPr>
        <w:t>akademického pracovníka.</w:t>
      </w:r>
    </w:p>
    <w:p w14:paraId="4CA1E092" w14:textId="61C03069" w:rsidR="003D5D00" w:rsidRPr="001E66A9" w:rsidRDefault="003D5D00" w:rsidP="003D5D00">
      <w:pPr>
        <w:pStyle w:val="Odstavecseseznamem"/>
        <w:numPr>
          <w:ilvl w:val="0"/>
          <w:numId w:val="6"/>
        </w:numPr>
        <w:jc w:val="both"/>
        <w:rPr>
          <w:rFonts w:ascii="Comenia Serif" w:hAnsi="Comenia Serif"/>
          <w:sz w:val="20"/>
          <w:szCs w:val="20"/>
          <w:lang w:val="en-GB"/>
        </w:rPr>
      </w:pPr>
      <w:r w:rsidRPr="001E66A9">
        <w:rPr>
          <w:rFonts w:ascii="Comenia Serif" w:hAnsi="Comenia Serif"/>
          <w:sz w:val="20"/>
          <w:szCs w:val="20"/>
        </w:rPr>
        <w:t xml:space="preserve">provozní náklady </w:t>
      </w:r>
      <w:r w:rsidR="002A2AFD" w:rsidRPr="001E66A9">
        <w:rPr>
          <w:rFonts w:ascii="Comenia Serif" w:hAnsi="Comenia Serif"/>
          <w:sz w:val="20"/>
          <w:szCs w:val="20"/>
        </w:rPr>
        <w:t>0</w:t>
      </w:r>
      <w:r w:rsidRPr="001E66A9">
        <w:rPr>
          <w:rFonts w:ascii="Comenia Serif" w:hAnsi="Comenia Serif"/>
          <w:sz w:val="20"/>
          <w:szCs w:val="20"/>
        </w:rPr>
        <w:t xml:space="preserve"> </w:t>
      </w:r>
      <w:r w:rsidR="00FB214D" w:rsidRPr="001E66A9">
        <w:rPr>
          <w:rFonts w:ascii="Comenia Serif" w:hAnsi="Comenia Serif"/>
          <w:sz w:val="20"/>
          <w:szCs w:val="20"/>
        </w:rPr>
        <w:t>Kč</w:t>
      </w:r>
    </w:p>
    <w:p w14:paraId="79312AC2" w14:textId="4916FF99" w:rsidR="003D5D00" w:rsidRPr="001E66A9" w:rsidRDefault="002A2AFD" w:rsidP="003D5D00">
      <w:pPr>
        <w:pStyle w:val="Odstavecseseznamem"/>
        <w:ind w:left="1647"/>
        <w:jc w:val="both"/>
        <w:rPr>
          <w:rFonts w:ascii="Comenia Serif" w:hAnsi="Comenia Serif"/>
          <w:sz w:val="20"/>
          <w:szCs w:val="20"/>
          <w:lang w:val="en-GB"/>
        </w:rPr>
      </w:pPr>
      <w:r w:rsidRPr="001E66A9">
        <w:rPr>
          <w:rFonts w:ascii="Comenia Serif" w:hAnsi="Comenia Serif"/>
          <w:sz w:val="20"/>
          <w:szCs w:val="20"/>
        </w:rPr>
        <w:t>Nebyly vynaloženy</w:t>
      </w:r>
      <w:r w:rsidR="003910A9" w:rsidRPr="001E66A9">
        <w:rPr>
          <w:rFonts w:ascii="Comenia Serif" w:hAnsi="Comenia Serif"/>
          <w:sz w:val="20"/>
          <w:szCs w:val="20"/>
        </w:rPr>
        <w:t>.</w:t>
      </w:r>
    </w:p>
    <w:p w14:paraId="6E425FFE" w14:textId="4CDAAB7B" w:rsidR="003D5D00" w:rsidRPr="001E66A9" w:rsidRDefault="003D5D00" w:rsidP="003D5D00">
      <w:pPr>
        <w:pStyle w:val="Odstavecseseznamem"/>
        <w:numPr>
          <w:ilvl w:val="0"/>
          <w:numId w:val="6"/>
        </w:numPr>
        <w:jc w:val="both"/>
        <w:rPr>
          <w:rFonts w:ascii="Comenia Serif" w:hAnsi="Comenia Serif"/>
          <w:sz w:val="20"/>
          <w:szCs w:val="20"/>
        </w:rPr>
      </w:pPr>
      <w:r w:rsidRPr="001E66A9">
        <w:rPr>
          <w:rFonts w:ascii="Comenia Serif" w:hAnsi="Comenia Serif" w:cs="Times New Roman"/>
          <w:sz w:val="20"/>
          <w:szCs w:val="20"/>
        </w:rPr>
        <w:t>služby (mimo konferenčních</w:t>
      </w:r>
      <w:r w:rsidR="003910A9" w:rsidRPr="001E66A9">
        <w:rPr>
          <w:rFonts w:ascii="Comenia Serif" w:hAnsi="Comenia Serif" w:cs="Times New Roman"/>
          <w:sz w:val="20"/>
          <w:szCs w:val="20"/>
        </w:rPr>
        <w:t xml:space="preserve"> a publikačních</w:t>
      </w:r>
      <w:r w:rsidRPr="001E66A9">
        <w:rPr>
          <w:rFonts w:ascii="Comenia Serif" w:hAnsi="Comenia Serif" w:cs="Times New Roman"/>
          <w:sz w:val="20"/>
          <w:szCs w:val="20"/>
        </w:rPr>
        <w:t xml:space="preserve"> poplatků) </w:t>
      </w:r>
      <w:r w:rsidR="00293074" w:rsidRPr="001E66A9">
        <w:rPr>
          <w:rFonts w:ascii="Comenia Serif" w:hAnsi="Comenia Serif" w:cs="Times New Roman"/>
          <w:sz w:val="20"/>
          <w:szCs w:val="20"/>
        </w:rPr>
        <w:t>1</w:t>
      </w:r>
      <w:r w:rsidR="003A2850" w:rsidRPr="001E66A9">
        <w:rPr>
          <w:rFonts w:ascii="Comenia Serif" w:hAnsi="Comenia Serif" w:cs="Times New Roman"/>
          <w:sz w:val="20"/>
          <w:szCs w:val="20"/>
        </w:rPr>
        <w:t>9</w:t>
      </w:r>
      <w:r w:rsidR="00293074" w:rsidRPr="001E66A9">
        <w:rPr>
          <w:rFonts w:ascii="Calibri" w:hAnsi="Calibri" w:cs="Calibri"/>
          <w:sz w:val="20"/>
          <w:szCs w:val="20"/>
        </w:rPr>
        <w:t> </w:t>
      </w:r>
      <w:r w:rsidR="003A2850" w:rsidRPr="001E66A9">
        <w:rPr>
          <w:rFonts w:ascii="Comenia Serif" w:hAnsi="Comenia Serif" w:cs="Times New Roman"/>
          <w:sz w:val="20"/>
          <w:szCs w:val="20"/>
        </w:rPr>
        <w:t>196</w:t>
      </w:r>
      <w:r w:rsidR="00293074" w:rsidRPr="001E66A9">
        <w:rPr>
          <w:rFonts w:ascii="Comenia Serif" w:hAnsi="Comenia Serif" w:cs="Times New Roman"/>
          <w:sz w:val="20"/>
          <w:szCs w:val="20"/>
        </w:rPr>
        <w:t>,</w:t>
      </w:r>
      <w:r w:rsidR="003A2850" w:rsidRPr="001E66A9">
        <w:rPr>
          <w:rFonts w:ascii="Comenia Serif" w:hAnsi="Comenia Serif" w:cs="Times New Roman"/>
          <w:sz w:val="20"/>
          <w:szCs w:val="20"/>
        </w:rPr>
        <w:t>04</w:t>
      </w:r>
      <w:r w:rsidRPr="001E66A9">
        <w:rPr>
          <w:rFonts w:ascii="Comenia Serif" w:hAnsi="Comenia Serif" w:cs="Times New Roman"/>
          <w:sz w:val="20"/>
          <w:szCs w:val="20"/>
        </w:rPr>
        <w:t xml:space="preserve"> Kč </w:t>
      </w:r>
    </w:p>
    <w:p w14:paraId="03697582" w14:textId="0AF4288B" w:rsidR="003D5D00" w:rsidRPr="001E66A9" w:rsidRDefault="003D5D00" w:rsidP="003D5D00">
      <w:pPr>
        <w:pStyle w:val="Odstavecseseznamem"/>
        <w:ind w:left="1647"/>
        <w:jc w:val="both"/>
        <w:rPr>
          <w:rFonts w:ascii="Comenia Serif" w:hAnsi="Comenia Serif" w:cs="Times New Roman"/>
          <w:sz w:val="20"/>
          <w:szCs w:val="20"/>
        </w:rPr>
      </w:pPr>
      <w:r w:rsidRPr="001E66A9">
        <w:rPr>
          <w:rFonts w:ascii="Comenia Serif" w:hAnsi="Comenia Serif" w:cs="Times New Roman"/>
          <w:sz w:val="20"/>
          <w:szCs w:val="20"/>
        </w:rPr>
        <w:t>Částka byla použita na</w:t>
      </w:r>
      <w:r w:rsidR="00F84815" w:rsidRPr="001E66A9">
        <w:rPr>
          <w:rFonts w:ascii="Comenia Serif" w:hAnsi="Comenia Serif" w:cs="Times New Roman"/>
          <w:sz w:val="20"/>
          <w:szCs w:val="20"/>
        </w:rPr>
        <w:t xml:space="preserve"> jazykové</w:t>
      </w:r>
      <w:r w:rsidRPr="001E66A9">
        <w:rPr>
          <w:rFonts w:ascii="Comenia Serif" w:hAnsi="Comenia Serif" w:cs="Times New Roman"/>
          <w:sz w:val="20"/>
          <w:szCs w:val="20"/>
        </w:rPr>
        <w:t xml:space="preserve"> </w:t>
      </w:r>
      <w:r w:rsidR="00F84815" w:rsidRPr="001E66A9">
        <w:rPr>
          <w:rFonts w:ascii="Comenia Serif" w:hAnsi="Comenia Serif"/>
          <w:sz w:val="20"/>
          <w:szCs w:val="20"/>
        </w:rPr>
        <w:t>korektury časopiseckých výstupů</w:t>
      </w:r>
      <w:r w:rsidR="003D7F82" w:rsidRPr="001E66A9">
        <w:rPr>
          <w:rFonts w:ascii="Comenia Serif" w:hAnsi="Comenia Serif"/>
          <w:sz w:val="20"/>
          <w:szCs w:val="20"/>
        </w:rPr>
        <w:t xml:space="preserve"> (17 275,17 Kč) a za roční přístup do databáze ekonomických ukazatelů (</w:t>
      </w:r>
      <w:r w:rsidR="003257AC">
        <w:rPr>
          <w:rFonts w:ascii="Comenia Serif" w:hAnsi="Comenia Serif"/>
          <w:sz w:val="20"/>
          <w:szCs w:val="20"/>
        </w:rPr>
        <w:t>)</w:t>
      </w:r>
      <w:r w:rsidR="00E73959" w:rsidRPr="001E66A9">
        <w:rPr>
          <w:rFonts w:ascii="Comenia Serif" w:hAnsi="Comenia Serif" w:cs="Times New Roman"/>
          <w:sz w:val="20"/>
          <w:szCs w:val="20"/>
        </w:rPr>
        <w:t>.</w:t>
      </w:r>
    </w:p>
    <w:p w14:paraId="17257A4E" w14:textId="3AB62008" w:rsidR="002377BF" w:rsidRPr="001E66A9" w:rsidRDefault="0087255C" w:rsidP="00E73959">
      <w:pPr>
        <w:pStyle w:val="Odstavecseseznamem"/>
        <w:numPr>
          <w:ilvl w:val="0"/>
          <w:numId w:val="6"/>
        </w:numPr>
        <w:jc w:val="both"/>
        <w:rPr>
          <w:rFonts w:ascii="Comenia Serif" w:hAnsi="Comenia Serif"/>
          <w:sz w:val="20"/>
          <w:szCs w:val="20"/>
        </w:rPr>
      </w:pPr>
      <w:r w:rsidRPr="001E66A9">
        <w:rPr>
          <w:rFonts w:ascii="Comenia Serif" w:hAnsi="Comenia Serif" w:cs="Times New Roman"/>
          <w:sz w:val="20"/>
          <w:szCs w:val="20"/>
        </w:rPr>
        <w:t xml:space="preserve">doplňkové </w:t>
      </w:r>
      <w:r w:rsidR="00504923" w:rsidRPr="001E66A9">
        <w:rPr>
          <w:rFonts w:ascii="Comenia Serif" w:hAnsi="Comenia Serif" w:cs="Times New Roman"/>
          <w:sz w:val="20"/>
          <w:szCs w:val="20"/>
        </w:rPr>
        <w:t>965</w:t>
      </w:r>
      <w:r w:rsidR="0083684F" w:rsidRPr="001E66A9">
        <w:rPr>
          <w:rFonts w:ascii="Comenia Serif" w:hAnsi="Comenia Serif" w:cs="Times New Roman"/>
          <w:sz w:val="20"/>
          <w:szCs w:val="20"/>
        </w:rPr>
        <w:t>,</w:t>
      </w:r>
      <w:r w:rsidR="00504923" w:rsidRPr="001E66A9">
        <w:rPr>
          <w:rFonts w:ascii="Comenia Serif" w:hAnsi="Comenia Serif" w:cs="Times New Roman"/>
          <w:sz w:val="20"/>
          <w:szCs w:val="20"/>
        </w:rPr>
        <w:t>07</w:t>
      </w:r>
      <w:r w:rsidR="003D5D00" w:rsidRPr="001E66A9">
        <w:rPr>
          <w:rFonts w:ascii="Comenia Serif" w:hAnsi="Comenia Serif" w:cs="Times New Roman"/>
          <w:sz w:val="20"/>
          <w:szCs w:val="20"/>
        </w:rPr>
        <w:t xml:space="preserve"> Kč a jejich stručné zdůvodnění</w:t>
      </w:r>
    </w:p>
    <w:p w14:paraId="361F00EB" w14:textId="6B10B3A6" w:rsidR="00535EAB" w:rsidRPr="001E66A9" w:rsidRDefault="0083684F" w:rsidP="0083684F">
      <w:pPr>
        <w:ind w:left="1701"/>
        <w:jc w:val="both"/>
        <w:rPr>
          <w:rFonts w:ascii="Comenia Serif" w:hAnsi="Comenia Serif"/>
          <w:sz w:val="20"/>
          <w:szCs w:val="20"/>
        </w:rPr>
      </w:pPr>
      <w:r w:rsidRPr="001E66A9">
        <w:rPr>
          <w:rFonts w:ascii="Comenia Serif" w:hAnsi="Comenia Serif"/>
          <w:sz w:val="20"/>
          <w:szCs w:val="20"/>
        </w:rPr>
        <w:t>Jedná se o částku vynaloženou v podobě bankovních poplatků</w:t>
      </w:r>
      <w:r w:rsidR="00FF4B39" w:rsidRPr="001E66A9">
        <w:rPr>
          <w:rFonts w:ascii="Comenia Serif" w:hAnsi="Comenia Serif"/>
          <w:sz w:val="20"/>
          <w:szCs w:val="20"/>
        </w:rPr>
        <w:t xml:space="preserve"> za uskutečněné platby</w:t>
      </w:r>
      <w:r w:rsidRPr="001E66A9">
        <w:rPr>
          <w:rFonts w:ascii="Comenia Serif" w:hAnsi="Comenia Serif"/>
          <w:sz w:val="20"/>
          <w:szCs w:val="20"/>
        </w:rPr>
        <w:t>.</w:t>
      </w:r>
    </w:p>
    <w:p w14:paraId="26854B66" w14:textId="77777777" w:rsidR="0083684F" w:rsidRPr="001E66A9" w:rsidRDefault="0083684F" w:rsidP="00535EAB">
      <w:pPr>
        <w:ind w:left="1287"/>
        <w:jc w:val="both"/>
        <w:rPr>
          <w:rFonts w:ascii="Comenia Serif" w:hAnsi="Comenia Serif"/>
          <w:sz w:val="20"/>
          <w:szCs w:val="20"/>
        </w:rPr>
      </w:pPr>
    </w:p>
    <w:p w14:paraId="41AB5F9E" w14:textId="70477651" w:rsidR="00535EAB" w:rsidRPr="001E66A9" w:rsidRDefault="00535EAB" w:rsidP="00535EAB">
      <w:pPr>
        <w:ind w:left="1287"/>
        <w:jc w:val="both"/>
        <w:rPr>
          <w:rFonts w:ascii="Comenia Serif" w:hAnsi="Comenia Serif"/>
          <w:sz w:val="20"/>
          <w:szCs w:val="20"/>
        </w:rPr>
      </w:pPr>
      <w:r w:rsidRPr="001E66A9">
        <w:rPr>
          <w:rFonts w:ascii="Comenia Serif" w:hAnsi="Comenia Serif"/>
          <w:sz w:val="20"/>
          <w:szCs w:val="20"/>
        </w:rPr>
        <w:t xml:space="preserve">Rozpočet </w:t>
      </w:r>
      <w:r w:rsidR="008D1D5B" w:rsidRPr="001E66A9">
        <w:rPr>
          <w:rFonts w:ascii="Comenia Serif" w:hAnsi="Comenia Serif"/>
          <w:sz w:val="20"/>
          <w:szCs w:val="20"/>
        </w:rPr>
        <w:t xml:space="preserve">„další náklady“ byl </w:t>
      </w:r>
      <w:r w:rsidR="00153BCF" w:rsidRPr="001E66A9">
        <w:rPr>
          <w:rFonts w:ascii="Comenia Serif" w:hAnsi="Comenia Serif"/>
          <w:sz w:val="20"/>
          <w:szCs w:val="20"/>
        </w:rPr>
        <w:t xml:space="preserve">mírně snížen (původní částka </w:t>
      </w:r>
      <w:r w:rsidR="00642013" w:rsidRPr="001E66A9">
        <w:rPr>
          <w:rFonts w:ascii="Comenia Serif" w:hAnsi="Comenia Serif"/>
          <w:sz w:val="20"/>
          <w:szCs w:val="20"/>
        </w:rPr>
        <w:t>4</w:t>
      </w:r>
      <w:r w:rsidR="00801737" w:rsidRPr="001E66A9">
        <w:rPr>
          <w:rFonts w:ascii="Comenia Serif" w:hAnsi="Comenia Serif"/>
          <w:sz w:val="20"/>
          <w:szCs w:val="20"/>
        </w:rPr>
        <w:t>9</w:t>
      </w:r>
      <w:r w:rsidR="00153BCF" w:rsidRPr="001E66A9">
        <w:rPr>
          <w:rFonts w:ascii="Calibri" w:hAnsi="Calibri" w:cs="Calibri"/>
          <w:sz w:val="20"/>
          <w:szCs w:val="20"/>
        </w:rPr>
        <w:t> </w:t>
      </w:r>
      <w:r w:rsidR="00642013" w:rsidRPr="001E66A9">
        <w:rPr>
          <w:rFonts w:ascii="Comenia Serif" w:hAnsi="Comenia Serif"/>
          <w:sz w:val="20"/>
          <w:szCs w:val="20"/>
        </w:rPr>
        <w:t>00</w:t>
      </w:r>
      <w:r w:rsidR="00801737" w:rsidRPr="001E66A9">
        <w:rPr>
          <w:rFonts w:ascii="Comenia Serif" w:hAnsi="Comenia Serif"/>
          <w:sz w:val="20"/>
          <w:szCs w:val="20"/>
        </w:rPr>
        <w:t>0</w:t>
      </w:r>
      <w:r w:rsidR="00153BCF" w:rsidRPr="001E66A9">
        <w:rPr>
          <w:rFonts w:ascii="Comenia Serif" w:hAnsi="Comenia Serif"/>
          <w:sz w:val="20"/>
          <w:szCs w:val="20"/>
        </w:rPr>
        <w:t xml:space="preserve"> Kč, nová částka </w:t>
      </w:r>
      <w:r w:rsidR="00642013" w:rsidRPr="001E66A9">
        <w:rPr>
          <w:rFonts w:ascii="Comenia Serif" w:hAnsi="Comenia Serif"/>
          <w:sz w:val="20"/>
          <w:szCs w:val="20"/>
        </w:rPr>
        <w:t>45</w:t>
      </w:r>
      <w:r w:rsidR="00153BCF" w:rsidRPr="001E66A9">
        <w:rPr>
          <w:rFonts w:ascii="Calibri" w:hAnsi="Calibri" w:cs="Calibri"/>
          <w:sz w:val="20"/>
          <w:szCs w:val="20"/>
        </w:rPr>
        <w:t> </w:t>
      </w:r>
      <w:r w:rsidR="00642013" w:rsidRPr="001E66A9">
        <w:rPr>
          <w:rFonts w:ascii="Comenia Serif" w:hAnsi="Comenia Serif"/>
          <w:sz w:val="20"/>
          <w:szCs w:val="20"/>
        </w:rPr>
        <w:t>1</w:t>
      </w:r>
      <w:r w:rsidR="002A2AFD" w:rsidRPr="001E66A9">
        <w:rPr>
          <w:rFonts w:ascii="Comenia Serif" w:hAnsi="Comenia Serif"/>
          <w:sz w:val="20"/>
          <w:szCs w:val="20"/>
        </w:rPr>
        <w:t>60</w:t>
      </w:r>
      <w:r w:rsidR="00153BCF" w:rsidRPr="001E66A9">
        <w:rPr>
          <w:rFonts w:ascii="Comenia Serif" w:hAnsi="Comenia Serif"/>
          <w:sz w:val="20"/>
          <w:szCs w:val="20"/>
        </w:rPr>
        <w:t>,</w:t>
      </w:r>
      <w:r w:rsidR="002A2AFD" w:rsidRPr="001E66A9">
        <w:rPr>
          <w:rFonts w:ascii="Comenia Serif" w:hAnsi="Comenia Serif"/>
          <w:sz w:val="20"/>
          <w:szCs w:val="20"/>
        </w:rPr>
        <w:t>1</w:t>
      </w:r>
      <w:r w:rsidR="00642013" w:rsidRPr="001E66A9">
        <w:rPr>
          <w:rFonts w:ascii="Comenia Serif" w:hAnsi="Comenia Serif"/>
          <w:sz w:val="20"/>
          <w:szCs w:val="20"/>
        </w:rPr>
        <w:t>1</w:t>
      </w:r>
      <w:r w:rsidR="00153BCF" w:rsidRPr="001E66A9">
        <w:rPr>
          <w:rFonts w:ascii="Comenia Serif" w:hAnsi="Comenia Serif"/>
          <w:sz w:val="20"/>
          <w:szCs w:val="20"/>
        </w:rPr>
        <w:t xml:space="preserve"> Kč), a to zejména z</w:t>
      </w:r>
      <w:r w:rsidR="00C50D21" w:rsidRPr="001E66A9">
        <w:rPr>
          <w:rFonts w:ascii="Calibri" w:hAnsi="Calibri" w:cs="Calibri"/>
          <w:sz w:val="20"/>
          <w:szCs w:val="20"/>
        </w:rPr>
        <w:t> </w:t>
      </w:r>
      <w:r w:rsidR="00153BCF" w:rsidRPr="001E66A9">
        <w:rPr>
          <w:rFonts w:ascii="Comenia Serif" w:hAnsi="Comenia Serif"/>
          <w:sz w:val="20"/>
          <w:szCs w:val="20"/>
        </w:rPr>
        <w:t>důvodu</w:t>
      </w:r>
      <w:r w:rsidR="00C50D21" w:rsidRPr="001E66A9">
        <w:rPr>
          <w:rFonts w:ascii="Comenia Serif" w:hAnsi="Comenia Serif"/>
          <w:sz w:val="20"/>
          <w:szCs w:val="20"/>
        </w:rPr>
        <w:t xml:space="preserve"> nižší potřeby překladů a korektur díky širšímu zapojení zahraničních spoluautorů</w:t>
      </w:r>
      <w:r w:rsidR="0052786F" w:rsidRPr="001E66A9">
        <w:rPr>
          <w:rFonts w:ascii="Comenia Serif" w:hAnsi="Comenia Serif"/>
          <w:sz w:val="20"/>
          <w:szCs w:val="20"/>
        </w:rPr>
        <w:t xml:space="preserve"> nebo rodilých mluvčích</w:t>
      </w:r>
      <w:r w:rsidR="00A90D99" w:rsidRPr="001E66A9">
        <w:rPr>
          <w:rFonts w:ascii="Comenia Serif" w:hAnsi="Comenia Serif"/>
          <w:sz w:val="20"/>
          <w:szCs w:val="20"/>
        </w:rPr>
        <w:t xml:space="preserve"> a zároveň z důvodu potřeby financování poplatků za časopisecké výstupy</w:t>
      </w:r>
      <w:r w:rsidR="003D1D17" w:rsidRPr="001E66A9">
        <w:rPr>
          <w:rFonts w:ascii="Comenia Serif" w:hAnsi="Comenia Serif"/>
          <w:sz w:val="20"/>
          <w:szCs w:val="20"/>
        </w:rPr>
        <w:t xml:space="preserve"> (viz výše bod</w:t>
      </w:r>
      <w:r w:rsidR="4660C4D4" w:rsidRPr="001E66A9">
        <w:rPr>
          <w:rFonts w:ascii="Comenia Serif" w:hAnsi="Comenia Serif"/>
          <w:sz w:val="20"/>
          <w:szCs w:val="20"/>
        </w:rPr>
        <w:t>ě</w:t>
      </w:r>
      <w:r w:rsidR="003D1D17" w:rsidRPr="001E66A9">
        <w:rPr>
          <w:rFonts w:ascii="Comenia Serif" w:hAnsi="Comenia Serif"/>
          <w:sz w:val="20"/>
          <w:szCs w:val="20"/>
        </w:rPr>
        <w:t xml:space="preserve"> 2a)</w:t>
      </w:r>
      <w:r w:rsidR="007C76E4" w:rsidRPr="001E66A9">
        <w:rPr>
          <w:rFonts w:ascii="Comenia Serif" w:hAnsi="Comenia Serif"/>
          <w:sz w:val="20"/>
          <w:szCs w:val="20"/>
        </w:rPr>
        <w:t>.</w:t>
      </w:r>
    </w:p>
    <w:p w14:paraId="6F0B85EA" w14:textId="77777777" w:rsidR="00214F94" w:rsidRPr="001E66A9" w:rsidRDefault="00214F94" w:rsidP="00214F94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281D57A6" w14:textId="77777777" w:rsidR="00214F94" w:rsidRPr="001E66A9" w:rsidRDefault="00214F94" w:rsidP="00214F94">
      <w:pPr>
        <w:pStyle w:val="Default"/>
        <w:rPr>
          <w:rFonts w:ascii="Comenia Serif" w:hAnsi="Comenia Serif"/>
          <w:b/>
          <w:color w:val="auto"/>
          <w:sz w:val="20"/>
          <w:szCs w:val="20"/>
        </w:rPr>
      </w:pPr>
      <w:r w:rsidRPr="001E66A9">
        <w:rPr>
          <w:rFonts w:ascii="Comenia Serif" w:hAnsi="Comenia Serif"/>
          <w:b/>
          <w:color w:val="auto"/>
          <w:sz w:val="20"/>
          <w:szCs w:val="20"/>
        </w:rPr>
        <w:t>Splnění cílů řešení a přínos projektu</w:t>
      </w:r>
    </w:p>
    <w:p w14:paraId="08B835AD" w14:textId="59B90537" w:rsidR="003D5D00" w:rsidRPr="00BF29A0" w:rsidRDefault="003D5D00" w:rsidP="00014D5D">
      <w:pPr>
        <w:jc w:val="both"/>
        <w:rPr>
          <w:rFonts w:ascii="Comenia Serif" w:hAnsi="Comenia Serif"/>
          <w:sz w:val="20"/>
          <w:szCs w:val="20"/>
        </w:rPr>
      </w:pPr>
      <w:r w:rsidRPr="001E66A9">
        <w:rPr>
          <w:rFonts w:ascii="Comenia Serif" w:hAnsi="Comenia Serif"/>
          <w:sz w:val="20"/>
          <w:szCs w:val="20"/>
        </w:rPr>
        <w:t xml:space="preserve">Cílem specifického výzkumu bylo </w:t>
      </w:r>
      <w:r w:rsidR="001F0D77" w:rsidRPr="001E66A9">
        <w:rPr>
          <w:rFonts w:ascii="Comenia Serif" w:hAnsi="Comenia Serif"/>
          <w:sz w:val="20"/>
          <w:szCs w:val="20"/>
        </w:rPr>
        <w:t>za pomoci</w:t>
      </w:r>
      <w:r w:rsidR="001F0D77" w:rsidRPr="006330D4">
        <w:rPr>
          <w:rFonts w:ascii="Comenia Serif" w:hAnsi="Comenia Serif"/>
          <w:sz w:val="20"/>
          <w:szCs w:val="20"/>
        </w:rPr>
        <w:t xml:space="preserve"> metody analýzy </w:t>
      </w:r>
      <w:r w:rsidR="006330D4" w:rsidRPr="006330D4">
        <w:rPr>
          <w:rFonts w:ascii="Comenia Serif" w:hAnsi="Comenia Serif"/>
          <w:sz w:val="20"/>
          <w:szCs w:val="20"/>
        </w:rPr>
        <w:t>vybraných mikro i makroekonomických procesů a projevů definovat důsledky, vztahy a dopady související s tzv. čtvrtou průmyslovou revolucí v kontextu navazujícího trendu nazývaného jako Společnost 5.0</w:t>
      </w:r>
      <w:r w:rsidR="00D75A74">
        <w:rPr>
          <w:rFonts w:ascii="Comenia Serif" w:hAnsi="Comenia Serif"/>
          <w:sz w:val="20"/>
          <w:szCs w:val="20"/>
        </w:rPr>
        <w:t>, respektive Společnost 6.0, včetně dopadů souvisejících s</w:t>
      </w:r>
      <w:r w:rsidR="00D75A74">
        <w:rPr>
          <w:rFonts w:ascii="Calibri" w:hAnsi="Calibri" w:cs="Calibri"/>
          <w:sz w:val="20"/>
          <w:szCs w:val="20"/>
        </w:rPr>
        <w:t> </w:t>
      </w:r>
      <w:r w:rsidR="00D75A74">
        <w:rPr>
          <w:rFonts w:ascii="Comenia Serif" w:hAnsi="Comenia Serif"/>
          <w:sz w:val="20"/>
          <w:szCs w:val="20"/>
        </w:rPr>
        <w:t>digitalizací, automatizací a pronikání AI do nefinančního i finančního sektoru nebo dopady spojené s</w:t>
      </w:r>
      <w:r w:rsidR="00D75A74">
        <w:rPr>
          <w:rFonts w:ascii="Calibri" w:hAnsi="Calibri" w:cs="Calibri"/>
          <w:sz w:val="20"/>
          <w:szCs w:val="20"/>
        </w:rPr>
        <w:t> </w:t>
      </w:r>
      <w:r w:rsidR="00D75A74">
        <w:rPr>
          <w:rFonts w:ascii="Comenia Serif" w:hAnsi="Comenia Serif"/>
          <w:sz w:val="20"/>
          <w:szCs w:val="20"/>
        </w:rPr>
        <w:t xml:space="preserve">tlakem na diverzitu a rovné příležitosti ve společnosti, jakož i na udržitelnost a odpovědnou společnost definovaných například v tzv. Cílech udržitelného rozvoje OSN (tzv. </w:t>
      </w:r>
      <w:proofErr w:type="spellStart"/>
      <w:r w:rsidR="00D75A74">
        <w:rPr>
          <w:rFonts w:ascii="Comenia Serif" w:hAnsi="Comenia Serif"/>
          <w:sz w:val="20"/>
          <w:szCs w:val="20"/>
        </w:rPr>
        <w:t>SDGs</w:t>
      </w:r>
      <w:proofErr w:type="spellEnd"/>
      <w:r w:rsidR="00D75A74">
        <w:rPr>
          <w:rFonts w:ascii="Comenia Serif" w:hAnsi="Comenia Serif"/>
          <w:sz w:val="20"/>
          <w:szCs w:val="20"/>
        </w:rPr>
        <w:t>)</w:t>
      </w:r>
      <w:r w:rsidR="00014D5D" w:rsidRPr="00014D5D">
        <w:rPr>
          <w:rFonts w:ascii="Comenia Serif" w:hAnsi="Comenia Serif"/>
          <w:sz w:val="20"/>
          <w:szCs w:val="20"/>
        </w:rPr>
        <w:t>.</w:t>
      </w:r>
      <w:r w:rsidRPr="006330D4">
        <w:rPr>
          <w:rFonts w:ascii="Comenia Serif" w:hAnsi="Comenia Serif"/>
          <w:sz w:val="20"/>
          <w:szCs w:val="20"/>
        </w:rPr>
        <w:t xml:space="preserve"> Konkrétní zaměření projektu b</w:t>
      </w:r>
      <w:r w:rsidR="009E496C" w:rsidRPr="006330D4">
        <w:rPr>
          <w:rFonts w:ascii="Comenia Serif" w:hAnsi="Comenia Serif"/>
          <w:sz w:val="20"/>
          <w:szCs w:val="20"/>
        </w:rPr>
        <w:t>ylo</w:t>
      </w:r>
      <w:r w:rsidRPr="006330D4">
        <w:rPr>
          <w:rFonts w:ascii="Comenia Serif" w:hAnsi="Comenia Serif"/>
          <w:sz w:val="20"/>
          <w:szCs w:val="20"/>
        </w:rPr>
        <w:t xml:space="preserve"> na následující oblasti</w:t>
      </w:r>
      <w:r w:rsidRPr="00BF29A0">
        <w:rPr>
          <w:rFonts w:ascii="Comenia Serif" w:hAnsi="Comenia Serif"/>
          <w:sz w:val="20"/>
          <w:szCs w:val="20"/>
        </w:rPr>
        <w:t>:</w:t>
      </w:r>
    </w:p>
    <w:p w14:paraId="1DEFF46F" w14:textId="4836464B" w:rsidR="003D5D00" w:rsidRPr="00F07D59" w:rsidRDefault="006330D4" w:rsidP="00E45F39">
      <w:pPr>
        <w:pStyle w:val="Odstavecseseznamem"/>
        <w:numPr>
          <w:ilvl w:val="0"/>
          <w:numId w:val="9"/>
        </w:numPr>
        <w:rPr>
          <w:rFonts w:ascii="Comenia Serif" w:hAnsi="Comenia Serif"/>
          <w:sz w:val="20"/>
          <w:szCs w:val="20"/>
        </w:rPr>
      </w:pPr>
      <w:r w:rsidRPr="00F07D59">
        <w:rPr>
          <w:rFonts w:ascii="Comenia Serif" w:hAnsi="Comenia Serif"/>
          <w:sz w:val="20"/>
          <w:szCs w:val="20"/>
        </w:rPr>
        <w:t>změny makroekonomických ukazatelů vybraných ekonomik, dopad vybraných aspektů na vývoj kvality života, ale také na finanční nebo energetické trhy, trh práce nebo chování spotřebitele</w:t>
      </w:r>
      <w:r w:rsidR="00E8488A" w:rsidRPr="00F07D59">
        <w:rPr>
          <w:rFonts w:ascii="Comenia Serif" w:hAnsi="Comenia Serif"/>
          <w:sz w:val="20"/>
          <w:szCs w:val="20"/>
        </w:rPr>
        <w:t>;</w:t>
      </w:r>
    </w:p>
    <w:p w14:paraId="0D123AEC" w14:textId="2DED399A" w:rsidR="00E8488A" w:rsidRPr="00F07D59" w:rsidRDefault="00E8488A" w:rsidP="008D20F7">
      <w:pPr>
        <w:pStyle w:val="Odstavecseseznamem"/>
        <w:numPr>
          <w:ilvl w:val="0"/>
          <w:numId w:val="9"/>
        </w:numPr>
        <w:rPr>
          <w:rFonts w:ascii="Comenia Serif" w:hAnsi="Comenia Serif"/>
          <w:sz w:val="20"/>
          <w:szCs w:val="20"/>
        </w:rPr>
      </w:pPr>
      <w:r w:rsidRPr="00F07D59">
        <w:rPr>
          <w:rFonts w:ascii="Comenia Serif" w:hAnsi="Comenia Serif"/>
          <w:sz w:val="20"/>
          <w:szCs w:val="20"/>
        </w:rPr>
        <w:t>analýza vybraných odvětví</w:t>
      </w:r>
      <w:r w:rsidR="00014D5D" w:rsidRPr="00F07D59">
        <w:rPr>
          <w:rFonts w:ascii="Comenia Serif" w:hAnsi="Comenia Serif"/>
          <w:sz w:val="20"/>
          <w:szCs w:val="20"/>
        </w:rPr>
        <w:t xml:space="preserve"> a částí ekonomiky, tak aby byl zřejmý technologický, ekonomický, sociální posun v myšlení společnosti, jakož i analýza klíčové konkurence a potenciálu trhů pro inovativní produkty</w:t>
      </w:r>
      <w:r w:rsidRPr="00F07D59">
        <w:rPr>
          <w:rFonts w:ascii="Comenia Serif" w:hAnsi="Comenia Serif"/>
          <w:sz w:val="20"/>
          <w:szCs w:val="20"/>
        </w:rPr>
        <w:t>;</w:t>
      </w:r>
    </w:p>
    <w:p w14:paraId="1980FDD9" w14:textId="7AD00014" w:rsidR="003D5D00" w:rsidRPr="00F07D59" w:rsidRDefault="001F0D77" w:rsidP="003D5D00">
      <w:pPr>
        <w:pStyle w:val="Odstavecseseznamem"/>
        <w:numPr>
          <w:ilvl w:val="0"/>
          <w:numId w:val="8"/>
        </w:numPr>
        <w:rPr>
          <w:rFonts w:ascii="Comenia Serif" w:hAnsi="Comenia Serif"/>
          <w:sz w:val="20"/>
          <w:szCs w:val="20"/>
        </w:rPr>
      </w:pPr>
      <w:r w:rsidRPr="00F07D59">
        <w:rPr>
          <w:rFonts w:ascii="Comenia Serif" w:hAnsi="Comenia Serif"/>
          <w:sz w:val="20"/>
          <w:szCs w:val="20"/>
        </w:rPr>
        <w:t>investice firem i veřejného sektoru do ICT, AI, robotizace a automatizace,</w:t>
      </w:r>
      <w:r w:rsidR="00802AE5" w:rsidRPr="00F07D59">
        <w:rPr>
          <w:rFonts w:ascii="Comenia Serif" w:hAnsi="Comenia Serif"/>
          <w:sz w:val="20"/>
          <w:szCs w:val="20"/>
        </w:rPr>
        <w:t xml:space="preserve"> lidského kapitálu,</w:t>
      </w:r>
      <w:r w:rsidRPr="00F07D59">
        <w:rPr>
          <w:rFonts w:ascii="Comenia Serif" w:hAnsi="Comenia Serif"/>
          <w:sz w:val="20"/>
          <w:szCs w:val="20"/>
        </w:rPr>
        <w:t xml:space="preserve"> do moderních způsobů komunikace</w:t>
      </w:r>
      <w:r w:rsidR="00482B2A" w:rsidRPr="00F07D59">
        <w:rPr>
          <w:rFonts w:ascii="Comenia Serif" w:hAnsi="Comenia Serif"/>
          <w:sz w:val="20"/>
          <w:szCs w:val="20"/>
        </w:rPr>
        <w:t>,</w:t>
      </w:r>
      <w:r w:rsidRPr="00F07D59">
        <w:rPr>
          <w:rFonts w:ascii="Comenia Serif" w:hAnsi="Comenia Serif"/>
          <w:sz w:val="20"/>
          <w:szCs w:val="20"/>
        </w:rPr>
        <w:t xml:space="preserve"> prezentace</w:t>
      </w:r>
      <w:r w:rsidR="00482B2A" w:rsidRPr="00F07D59">
        <w:rPr>
          <w:rFonts w:ascii="Comenia Serif" w:hAnsi="Comenia Serif"/>
          <w:sz w:val="20"/>
          <w:szCs w:val="20"/>
        </w:rPr>
        <w:t xml:space="preserve"> i prodeje</w:t>
      </w:r>
      <w:r w:rsidR="003D5D00" w:rsidRPr="00F07D59">
        <w:rPr>
          <w:rFonts w:ascii="Comenia Serif" w:hAnsi="Comenia Serif"/>
          <w:sz w:val="20"/>
          <w:szCs w:val="20"/>
        </w:rPr>
        <w:t>,</w:t>
      </w:r>
    </w:p>
    <w:p w14:paraId="38525DED" w14:textId="3ADFEFA6" w:rsidR="003D5D00" w:rsidRPr="00F07D59" w:rsidRDefault="001F0D77" w:rsidP="00EF2D34">
      <w:pPr>
        <w:pStyle w:val="Odstavecseseznamem"/>
        <w:numPr>
          <w:ilvl w:val="0"/>
          <w:numId w:val="8"/>
        </w:numPr>
        <w:rPr>
          <w:rFonts w:ascii="Comenia Serif" w:hAnsi="Comenia Serif"/>
          <w:sz w:val="20"/>
          <w:szCs w:val="20"/>
        </w:rPr>
      </w:pPr>
      <w:r w:rsidRPr="00F07D59">
        <w:rPr>
          <w:rFonts w:ascii="Comenia Serif" w:hAnsi="Comenia Serif"/>
          <w:sz w:val="20"/>
          <w:szCs w:val="20"/>
        </w:rPr>
        <w:lastRenderedPageBreak/>
        <w:t>využití moderních technologií</w:t>
      </w:r>
      <w:r w:rsidR="008F377C" w:rsidRPr="00F07D59">
        <w:rPr>
          <w:rFonts w:ascii="Comenia Serif" w:hAnsi="Comenia Serif"/>
          <w:sz w:val="20"/>
          <w:szCs w:val="20"/>
        </w:rPr>
        <w:t xml:space="preserve"> a nových přístupů</w:t>
      </w:r>
      <w:r w:rsidRPr="00F07D59">
        <w:rPr>
          <w:rFonts w:ascii="Comenia Serif" w:hAnsi="Comenia Serif"/>
          <w:sz w:val="20"/>
          <w:szCs w:val="20"/>
        </w:rPr>
        <w:t xml:space="preserve"> ve vztahu k</w:t>
      </w:r>
      <w:r w:rsidR="00C0443E" w:rsidRPr="00F07D59">
        <w:rPr>
          <w:rFonts w:ascii="Comenia Serif" w:hAnsi="Comenia Serif"/>
          <w:sz w:val="20"/>
          <w:szCs w:val="20"/>
        </w:rPr>
        <w:t>e</w:t>
      </w:r>
      <w:r w:rsidRPr="00F07D59">
        <w:rPr>
          <w:rFonts w:ascii="Calibri" w:hAnsi="Calibri" w:cs="Calibri"/>
          <w:sz w:val="20"/>
          <w:szCs w:val="20"/>
        </w:rPr>
        <w:t> </w:t>
      </w:r>
      <w:r w:rsidRPr="00F07D59">
        <w:rPr>
          <w:rFonts w:ascii="Comenia Serif" w:hAnsi="Comenia Serif"/>
          <w:sz w:val="20"/>
          <w:szCs w:val="20"/>
        </w:rPr>
        <w:t>zlep</w:t>
      </w:r>
      <w:r w:rsidRPr="00F07D59">
        <w:rPr>
          <w:rFonts w:ascii="Comenia Serif" w:hAnsi="Comenia Serif" w:cs="Comenia Serif"/>
          <w:sz w:val="20"/>
          <w:szCs w:val="20"/>
        </w:rPr>
        <w:t>š</w:t>
      </w:r>
      <w:r w:rsidRPr="00F07D59">
        <w:rPr>
          <w:rFonts w:ascii="Comenia Serif" w:hAnsi="Comenia Serif"/>
          <w:sz w:val="20"/>
          <w:szCs w:val="20"/>
        </w:rPr>
        <w:t>en</w:t>
      </w:r>
      <w:r w:rsidRPr="00F07D59">
        <w:rPr>
          <w:rFonts w:ascii="Comenia Serif" w:hAnsi="Comenia Serif" w:cs="Comenia Serif"/>
          <w:sz w:val="20"/>
          <w:szCs w:val="20"/>
        </w:rPr>
        <w:t>í</w:t>
      </w:r>
      <w:r w:rsidRPr="00F07D59">
        <w:rPr>
          <w:rFonts w:ascii="Comenia Serif" w:hAnsi="Comenia Serif"/>
          <w:sz w:val="20"/>
          <w:szCs w:val="20"/>
        </w:rPr>
        <w:t xml:space="preserve"> kvality </w:t>
      </w:r>
      <w:r w:rsidRPr="00F07D59">
        <w:rPr>
          <w:rFonts w:ascii="Comenia Serif" w:hAnsi="Comenia Serif" w:cs="Comenia Serif"/>
          <w:sz w:val="20"/>
          <w:szCs w:val="20"/>
        </w:rPr>
        <w:t>ž</w:t>
      </w:r>
      <w:r w:rsidRPr="00F07D59">
        <w:rPr>
          <w:rFonts w:ascii="Comenia Serif" w:hAnsi="Comenia Serif"/>
          <w:sz w:val="20"/>
          <w:szCs w:val="20"/>
        </w:rPr>
        <w:t>ivota, potenciál úspor v</w:t>
      </w:r>
      <w:r w:rsidRPr="00F07D59">
        <w:rPr>
          <w:rFonts w:ascii="Calibri" w:hAnsi="Calibri" w:cs="Calibri"/>
          <w:sz w:val="20"/>
          <w:szCs w:val="20"/>
        </w:rPr>
        <w:t> </w:t>
      </w:r>
      <w:r w:rsidRPr="00F07D59">
        <w:rPr>
          <w:rFonts w:ascii="Comenia Serif" w:hAnsi="Comenia Serif"/>
          <w:sz w:val="20"/>
          <w:szCs w:val="20"/>
        </w:rPr>
        <w:t>oblastech sociální a zdravotní péče</w:t>
      </w:r>
      <w:r w:rsidR="008C66BE" w:rsidRPr="00F07D59">
        <w:rPr>
          <w:rFonts w:ascii="Comenia Serif" w:hAnsi="Comenia Serif"/>
          <w:sz w:val="20"/>
          <w:szCs w:val="20"/>
        </w:rPr>
        <w:t xml:space="preserve"> (například telemedicína)</w:t>
      </w:r>
      <w:r w:rsidR="00E8488A" w:rsidRPr="00F07D59">
        <w:rPr>
          <w:rFonts w:ascii="Comenia Serif" w:hAnsi="Comenia Serif"/>
          <w:sz w:val="20"/>
          <w:szCs w:val="20"/>
        </w:rPr>
        <w:t>;</w:t>
      </w:r>
    </w:p>
    <w:p w14:paraId="25074F2F" w14:textId="3C1CCCB8" w:rsidR="00E8488A" w:rsidRPr="00F07D59" w:rsidRDefault="00E8488A" w:rsidP="00EF4C89">
      <w:pPr>
        <w:pStyle w:val="Odstavecseseznamem"/>
        <w:numPr>
          <w:ilvl w:val="0"/>
          <w:numId w:val="8"/>
        </w:numPr>
        <w:rPr>
          <w:rFonts w:ascii="Comenia Serif" w:hAnsi="Comenia Serif"/>
          <w:sz w:val="20"/>
          <w:szCs w:val="20"/>
        </w:rPr>
      </w:pPr>
      <w:r w:rsidRPr="00F07D59">
        <w:rPr>
          <w:rFonts w:ascii="Comenia Serif" w:hAnsi="Comenia Serif"/>
          <w:sz w:val="20"/>
          <w:szCs w:val="20"/>
        </w:rPr>
        <w:t>efektivita inovace a transferu technologií.</w:t>
      </w:r>
    </w:p>
    <w:p w14:paraId="077C25C5" w14:textId="211F5587" w:rsidR="00776E98" w:rsidRDefault="003D5D00" w:rsidP="00214F94">
      <w:pPr>
        <w:pStyle w:val="Default"/>
        <w:rPr>
          <w:rFonts w:ascii="Comenia Serif" w:hAnsi="Comenia Serif"/>
          <w:bCs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Comenia Serif" w:hAnsi="Comenia Serif"/>
          <w:sz w:val="20"/>
          <w:szCs w:val="20"/>
        </w:rPr>
        <w:t>rámci těchto oblastí vznikly výstupy popisující vhodné postupy v</w:t>
      </w:r>
      <w:r>
        <w:rPr>
          <w:rFonts w:ascii="Calibri" w:hAnsi="Calibri" w:cs="Calibri"/>
          <w:sz w:val="20"/>
          <w:szCs w:val="20"/>
        </w:rPr>
        <w:t> </w:t>
      </w:r>
      <w:r w:rsidR="00904302">
        <w:rPr>
          <w:rFonts w:ascii="Comenia Serif" w:hAnsi="Comenia Serif"/>
          <w:sz w:val="20"/>
          <w:szCs w:val="20"/>
        </w:rPr>
        <w:t>daných oblastech</w:t>
      </w:r>
      <w:r w:rsidR="009E496C" w:rsidRPr="009E496C">
        <w:rPr>
          <w:rFonts w:ascii="Comenia Serif" w:hAnsi="Comenia Serif"/>
          <w:bCs/>
          <w:sz w:val="20"/>
          <w:szCs w:val="20"/>
        </w:rPr>
        <w:t>, přičemž následující tabulka</w:t>
      </w:r>
      <w:r w:rsidR="007B4C59">
        <w:rPr>
          <w:rFonts w:ascii="Comenia Serif" w:hAnsi="Comenia Serif"/>
          <w:bCs/>
          <w:sz w:val="20"/>
          <w:szCs w:val="20"/>
        </w:rPr>
        <w:t xml:space="preserve"> (viz níže Tabulka 2)</w:t>
      </w:r>
      <w:r w:rsidR="009E496C" w:rsidRPr="009E496C">
        <w:rPr>
          <w:rFonts w:ascii="Comenia Serif" w:hAnsi="Comenia Serif"/>
          <w:bCs/>
          <w:sz w:val="20"/>
          <w:szCs w:val="20"/>
        </w:rPr>
        <w:t xml:space="preserve"> blíže popisuje </w:t>
      </w:r>
      <w:r w:rsidR="00C65321">
        <w:rPr>
          <w:rFonts w:ascii="Comenia Serif" w:hAnsi="Comenia Serif"/>
          <w:bCs/>
          <w:sz w:val="20"/>
          <w:szCs w:val="20"/>
        </w:rPr>
        <w:t>hlavní</w:t>
      </w:r>
      <w:r w:rsidR="009E496C" w:rsidRPr="009E496C">
        <w:rPr>
          <w:rFonts w:ascii="Comenia Serif" w:hAnsi="Comenia Serif"/>
          <w:bCs/>
          <w:sz w:val="20"/>
          <w:szCs w:val="20"/>
        </w:rPr>
        <w:t xml:space="preserve"> výsledky, kterých bylo v průběhu dosaženo</w:t>
      </w:r>
      <w:r w:rsidR="003A4D4D">
        <w:rPr>
          <w:rFonts w:ascii="Comenia Serif" w:hAnsi="Comenia Serif"/>
          <w:bCs/>
          <w:sz w:val="20"/>
          <w:szCs w:val="20"/>
        </w:rPr>
        <w:t>,</w:t>
      </w:r>
      <w:r w:rsidR="009E496C" w:rsidRPr="009E496C">
        <w:rPr>
          <w:rFonts w:ascii="Comenia Serif" w:hAnsi="Comenia Serif"/>
          <w:bCs/>
          <w:sz w:val="20"/>
          <w:szCs w:val="20"/>
        </w:rPr>
        <w:t xml:space="preserve"> a to formou publikování </w:t>
      </w:r>
      <w:r w:rsidR="00D1699A">
        <w:rPr>
          <w:rFonts w:ascii="Comenia Serif" w:hAnsi="Comenia Serif"/>
          <w:bCs/>
          <w:sz w:val="20"/>
          <w:szCs w:val="20"/>
        </w:rPr>
        <w:t>zejména</w:t>
      </w:r>
      <w:r w:rsidR="00904302">
        <w:rPr>
          <w:rFonts w:ascii="Comenia Serif" w:hAnsi="Comenia Serif"/>
          <w:bCs/>
          <w:sz w:val="20"/>
          <w:szCs w:val="20"/>
        </w:rPr>
        <w:t xml:space="preserve"> v časopisech</w:t>
      </w:r>
      <w:r w:rsidR="009E496C" w:rsidRPr="009E496C">
        <w:rPr>
          <w:rFonts w:ascii="Comenia Serif" w:hAnsi="Comenia Serif"/>
          <w:bCs/>
          <w:sz w:val="20"/>
          <w:szCs w:val="20"/>
        </w:rPr>
        <w:t>.</w:t>
      </w:r>
    </w:p>
    <w:p w14:paraId="2AC46DBD" w14:textId="77777777" w:rsidR="007B4C59" w:rsidRDefault="007B4C59" w:rsidP="00214F94">
      <w:pPr>
        <w:pStyle w:val="Default"/>
        <w:rPr>
          <w:rFonts w:ascii="Comenia Serif" w:hAnsi="Comenia Serif"/>
          <w:bCs/>
          <w:sz w:val="20"/>
          <w:szCs w:val="20"/>
        </w:rPr>
      </w:pPr>
    </w:p>
    <w:p w14:paraId="7780579B" w14:textId="6C777CED" w:rsidR="00CB2919" w:rsidRPr="007B4C59" w:rsidRDefault="007B4C59" w:rsidP="007B4C59">
      <w:pPr>
        <w:jc w:val="both"/>
        <w:rPr>
          <w:rFonts w:ascii="Comenia Serif" w:hAnsi="Comenia Serif"/>
          <w:i/>
          <w:sz w:val="20"/>
          <w:szCs w:val="20"/>
        </w:rPr>
      </w:pPr>
      <w:r w:rsidRPr="00D11536">
        <w:rPr>
          <w:rFonts w:ascii="Comenia Serif" w:hAnsi="Comenia Serif"/>
          <w:i/>
          <w:sz w:val="20"/>
          <w:szCs w:val="20"/>
        </w:rPr>
        <w:t>Tabulka</w:t>
      </w:r>
      <w:r>
        <w:rPr>
          <w:rFonts w:ascii="Comenia Serif" w:hAnsi="Comenia Serif"/>
          <w:i/>
          <w:sz w:val="20"/>
          <w:szCs w:val="20"/>
        </w:rPr>
        <w:t xml:space="preserve"> 2</w:t>
      </w:r>
      <w:r w:rsidRPr="00D11536">
        <w:rPr>
          <w:rFonts w:ascii="Comenia Serif" w:hAnsi="Comenia Serif"/>
          <w:i/>
          <w:sz w:val="20"/>
          <w:szCs w:val="20"/>
        </w:rPr>
        <w:t xml:space="preserve">: </w:t>
      </w:r>
      <w:r>
        <w:rPr>
          <w:rFonts w:ascii="Comenia Serif" w:hAnsi="Comenia Serif"/>
          <w:i/>
          <w:sz w:val="20"/>
          <w:szCs w:val="20"/>
        </w:rPr>
        <w:t>Výstup pokrývající oblast zaměření projektu a jeho konkrétní zaměření</w:t>
      </w:r>
    </w:p>
    <w:tbl>
      <w:tblPr>
        <w:tblStyle w:val="Mkatabulky"/>
        <w:tblW w:w="9123" w:type="dxa"/>
        <w:tblLook w:val="04A0" w:firstRow="1" w:lastRow="0" w:firstColumn="1" w:lastColumn="0" w:noHBand="0" w:noVBand="1"/>
      </w:tblPr>
      <w:tblGrid>
        <w:gridCol w:w="2263"/>
        <w:gridCol w:w="6860"/>
      </w:tblGrid>
      <w:tr w:rsidR="00904302" w14:paraId="1CEB04AF" w14:textId="77777777" w:rsidTr="00BB4917">
        <w:tc>
          <w:tcPr>
            <w:tcW w:w="2263" w:type="dxa"/>
          </w:tcPr>
          <w:p w14:paraId="561087DC" w14:textId="366EA824" w:rsidR="00904302" w:rsidRPr="003933CE" w:rsidRDefault="00904302" w:rsidP="00214F94">
            <w:pPr>
              <w:pStyle w:val="Default"/>
              <w:rPr>
                <w:rFonts w:ascii="Comenia Serif" w:hAnsi="Comenia Serif"/>
                <w:color w:val="auto"/>
                <w:sz w:val="20"/>
                <w:szCs w:val="20"/>
              </w:rPr>
            </w:pPr>
            <w:r w:rsidRPr="003933CE">
              <w:rPr>
                <w:rFonts w:ascii="Comenia Serif" w:hAnsi="Comenia Serif"/>
                <w:color w:val="auto"/>
                <w:sz w:val="20"/>
                <w:szCs w:val="20"/>
              </w:rPr>
              <w:t xml:space="preserve">Oblast </w:t>
            </w:r>
          </w:p>
        </w:tc>
        <w:tc>
          <w:tcPr>
            <w:tcW w:w="6860" w:type="dxa"/>
          </w:tcPr>
          <w:p w14:paraId="5338EEF8" w14:textId="384B5B98" w:rsidR="00904302" w:rsidRPr="003933CE" w:rsidRDefault="00DD6A87" w:rsidP="00DD6A87">
            <w:pPr>
              <w:pStyle w:val="Default"/>
              <w:rPr>
                <w:rFonts w:ascii="Comenia Serif" w:hAnsi="Comenia Serif"/>
                <w:color w:val="auto"/>
                <w:sz w:val="20"/>
                <w:szCs w:val="20"/>
              </w:rPr>
            </w:pPr>
            <w:r w:rsidRPr="003933CE">
              <w:rPr>
                <w:rFonts w:ascii="Comenia Serif" w:hAnsi="Comenia Serif"/>
                <w:color w:val="auto"/>
                <w:sz w:val="20"/>
                <w:szCs w:val="20"/>
              </w:rPr>
              <w:t>Zaměření výstupů</w:t>
            </w:r>
          </w:p>
        </w:tc>
      </w:tr>
      <w:tr w:rsidR="005738E7" w14:paraId="4F7AEDA9" w14:textId="77777777" w:rsidTr="00BB4917">
        <w:tc>
          <w:tcPr>
            <w:tcW w:w="2263" w:type="dxa"/>
          </w:tcPr>
          <w:p w14:paraId="15628058" w14:textId="1ED803BF" w:rsidR="005738E7" w:rsidRDefault="005738E7" w:rsidP="00214F94">
            <w:pPr>
              <w:pStyle w:val="Default"/>
              <w:rPr>
                <w:rFonts w:ascii="Comenia Serif" w:hAnsi="Comenia Serif"/>
                <w:sz w:val="20"/>
                <w:szCs w:val="20"/>
              </w:rPr>
            </w:pPr>
            <w:r>
              <w:rPr>
                <w:rFonts w:ascii="Comenia Serif" w:hAnsi="Comenia Serif"/>
                <w:sz w:val="20"/>
                <w:szCs w:val="20"/>
              </w:rPr>
              <w:t>A</w:t>
            </w:r>
            <w:r w:rsidRPr="00A03A78">
              <w:rPr>
                <w:rFonts w:ascii="Comenia Serif" w:hAnsi="Comenia Serif"/>
                <w:sz w:val="20"/>
                <w:szCs w:val="20"/>
              </w:rPr>
              <w:t>nalýza vybraných odvětví</w:t>
            </w:r>
            <w:r w:rsidR="003C2599">
              <w:rPr>
                <w:rFonts w:ascii="Comenia Serif" w:hAnsi="Comenia Serif"/>
                <w:sz w:val="20"/>
                <w:szCs w:val="20"/>
              </w:rPr>
              <w:t xml:space="preserve">; </w:t>
            </w:r>
            <w:r w:rsidR="003C2599" w:rsidRPr="003C2599">
              <w:rPr>
                <w:rFonts w:ascii="Comenia Serif" w:hAnsi="Comenia Serif"/>
                <w:sz w:val="20"/>
                <w:szCs w:val="20"/>
              </w:rPr>
              <w:t>posun v</w:t>
            </w:r>
            <w:r w:rsidR="003C2599">
              <w:rPr>
                <w:rFonts w:ascii="Calibri" w:hAnsi="Calibri" w:cs="Calibri"/>
                <w:sz w:val="20"/>
                <w:szCs w:val="20"/>
              </w:rPr>
              <w:t> </w:t>
            </w:r>
            <w:r w:rsidR="003C2599" w:rsidRPr="003C2599">
              <w:rPr>
                <w:rFonts w:ascii="Comenia Serif" w:hAnsi="Comenia Serif"/>
                <w:sz w:val="20"/>
                <w:szCs w:val="20"/>
              </w:rPr>
              <w:t>myšlení společnosti</w:t>
            </w:r>
            <w:r w:rsidR="003725AE">
              <w:rPr>
                <w:rFonts w:ascii="Comenia Serif" w:hAnsi="Comenia Serif"/>
                <w:sz w:val="20"/>
                <w:szCs w:val="20"/>
              </w:rPr>
              <w:t xml:space="preserve">; </w:t>
            </w:r>
            <w:r w:rsidR="003725AE" w:rsidRPr="003725AE">
              <w:rPr>
                <w:rFonts w:ascii="Comenia Serif" w:hAnsi="Comenia Serif"/>
                <w:sz w:val="20"/>
                <w:szCs w:val="20"/>
              </w:rPr>
              <w:t>potenciálu trhů pro inovativní produkty</w:t>
            </w:r>
          </w:p>
        </w:tc>
        <w:tc>
          <w:tcPr>
            <w:tcW w:w="6860" w:type="dxa"/>
          </w:tcPr>
          <w:p w14:paraId="50F309AC" w14:textId="4A5D3DD7" w:rsidR="005738E7" w:rsidRPr="005314EB" w:rsidRDefault="005738E7" w:rsidP="003C2599">
            <w:pPr>
              <w:pStyle w:val="Default"/>
              <w:rPr>
                <w:rFonts w:ascii="Comenia Serif" w:hAnsi="Comenia Serif"/>
                <w:color w:val="auto"/>
                <w:sz w:val="20"/>
                <w:szCs w:val="20"/>
              </w:rPr>
            </w:pPr>
            <w:r w:rsidRPr="005314EB">
              <w:rPr>
                <w:rFonts w:ascii="Comenia Serif" w:hAnsi="Comenia Serif"/>
                <w:color w:val="auto"/>
                <w:sz w:val="20"/>
                <w:szCs w:val="20"/>
              </w:rPr>
              <w:t>V této oblasti byl publikován například výstup (</w:t>
            </w:r>
            <w:proofErr w:type="spellStart"/>
            <w:r w:rsidR="0077059E" w:rsidRPr="005314EB">
              <w:rPr>
                <w:rFonts w:ascii="Comenia Serif" w:hAnsi="Comenia Serif"/>
                <w:color w:val="auto"/>
                <w:sz w:val="20"/>
                <w:szCs w:val="20"/>
              </w:rPr>
              <w:t>Maci</w:t>
            </w:r>
            <w:proofErr w:type="spellEnd"/>
            <w:r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r w:rsidR="0077059E" w:rsidRPr="005314EB">
              <w:rPr>
                <w:rFonts w:ascii="Comenia Serif" w:hAnsi="Comenia Serif"/>
                <w:color w:val="auto"/>
                <w:sz w:val="20"/>
                <w:szCs w:val="20"/>
              </w:rPr>
              <w:t>et al</w:t>
            </w:r>
            <w:r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. </w:t>
            </w:r>
            <w:proofErr w:type="spellStart"/>
            <w:r w:rsidR="0077059E" w:rsidRPr="005314EB">
              <w:rPr>
                <w:rFonts w:ascii="Comenia Serif" w:hAnsi="Comenia Serif"/>
                <w:color w:val="auto"/>
                <w:sz w:val="20"/>
                <w:szCs w:val="20"/>
              </w:rPr>
              <w:t>Medical</w:t>
            </w:r>
            <w:proofErr w:type="spellEnd"/>
            <w:r w:rsidR="0077059E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77059E" w:rsidRPr="005314EB">
              <w:rPr>
                <w:rFonts w:ascii="Comenia Serif" w:hAnsi="Comenia Serif"/>
                <w:color w:val="auto"/>
                <w:sz w:val="20"/>
                <w:szCs w:val="20"/>
              </w:rPr>
              <w:t>device</w:t>
            </w:r>
            <w:proofErr w:type="spellEnd"/>
            <w:r w:rsidR="0077059E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77059E" w:rsidRPr="005314EB">
              <w:rPr>
                <w:rFonts w:ascii="Comenia Serif" w:hAnsi="Comenia Serif"/>
                <w:color w:val="auto"/>
                <w:sz w:val="20"/>
                <w:szCs w:val="20"/>
              </w:rPr>
              <w:t>regulation</w:t>
            </w:r>
            <w:proofErr w:type="spellEnd"/>
            <w:r w:rsidR="0077059E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and </w:t>
            </w:r>
            <w:proofErr w:type="spellStart"/>
            <w:r w:rsidR="0077059E" w:rsidRPr="005314EB">
              <w:rPr>
                <w:rFonts w:ascii="Comenia Serif" w:hAnsi="Comenia Serif"/>
                <w:color w:val="auto"/>
                <w:sz w:val="20"/>
                <w:szCs w:val="20"/>
              </w:rPr>
              <w:t>its</w:t>
            </w:r>
            <w:proofErr w:type="spellEnd"/>
            <w:r w:rsidR="0077059E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77059E" w:rsidRPr="005314EB">
              <w:rPr>
                <w:rFonts w:ascii="Comenia Serif" w:hAnsi="Comenia Serif"/>
                <w:color w:val="auto"/>
                <w:sz w:val="20"/>
                <w:szCs w:val="20"/>
              </w:rPr>
              <w:t>impact</w:t>
            </w:r>
            <w:proofErr w:type="spellEnd"/>
            <w:r w:rsidR="0077059E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on </w:t>
            </w:r>
            <w:proofErr w:type="spellStart"/>
            <w:r w:rsidR="0077059E" w:rsidRPr="005314EB">
              <w:rPr>
                <w:rFonts w:ascii="Comenia Serif" w:hAnsi="Comenia Serif"/>
                <w:color w:val="auto"/>
                <w:sz w:val="20"/>
                <w:szCs w:val="20"/>
              </w:rPr>
              <w:t>the</w:t>
            </w:r>
            <w:proofErr w:type="spellEnd"/>
            <w:r w:rsidR="0077059E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77059E" w:rsidRPr="005314EB">
              <w:rPr>
                <w:rFonts w:ascii="Comenia Serif" w:hAnsi="Comenia Serif"/>
                <w:color w:val="auto"/>
                <w:sz w:val="20"/>
                <w:szCs w:val="20"/>
              </w:rPr>
              <w:t>industry</w:t>
            </w:r>
            <w:proofErr w:type="spellEnd"/>
            <w:r w:rsidR="0077059E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: A case study </w:t>
            </w:r>
            <w:proofErr w:type="spellStart"/>
            <w:r w:rsidR="0077059E" w:rsidRPr="005314EB">
              <w:rPr>
                <w:rFonts w:ascii="Comenia Serif" w:hAnsi="Comenia Serif"/>
                <w:color w:val="auto"/>
                <w:sz w:val="20"/>
                <w:szCs w:val="20"/>
              </w:rPr>
              <w:t>of</w:t>
            </w:r>
            <w:proofErr w:type="spellEnd"/>
            <w:r w:rsidR="0077059E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Czech </w:t>
            </w:r>
            <w:proofErr w:type="spellStart"/>
            <w:r w:rsidR="0077059E" w:rsidRPr="005314EB">
              <w:rPr>
                <w:rFonts w:ascii="Comenia Serif" w:hAnsi="Comenia Serif"/>
                <w:color w:val="auto"/>
                <w:sz w:val="20"/>
                <w:szCs w:val="20"/>
              </w:rPr>
              <w:t>companies</w:t>
            </w:r>
            <w:proofErr w:type="spellEnd"/>
            <w:r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; </w:t>
            </w:r>
            <w:r w:rsidR="0077059E" w:rsidRPr="005314EB">
              <w:rPr>
                <w:rFonts w:ascii="Comenia Serif" w:hAnsi="Comenia Serif"/>
                <w:color w:val="auto"/>
                <w:sz w:val="20"/>
                <w:szCs w:val="20"/>
              </w:rPr>
              <w:t>https://doi.org/10.15240/tul/001/2024-2-003</w:t>
            </w:r>
            <w:r w:rsidRPr="005314EB">
              <w:rPr>
                <w:rFonts w:ascii="Comenia Serif" w:hAnsi="Comenia Serif"/>
                <w:color w:val="auto"/>
                <w:sz w:val="20"/>
                <w:szCs w:val="20"/>
              </w:rPr>
              <w:t>).</w:t>
            </w:r>
          </w:p>
          <w:p w14:paraId="7EE26CF5" w14:textId="312B1A0A" w:rsidR="005738E7" w:rsidRPr="005314EB" w:rsidRDefault="005738E7" w:rsidP="006E7FE7">
            <w:pPr>
              <w:pStyle w:val="Default"/>
              <w:rPr>
                <w:rFonts w:ascii="Comenia Serif" w:hAnsi="Comenia Serif"/>
                <w:color w:val="auto"/>
                <w:sz w:val="20"/>
                <w:szCs w:val="20"/>
              </w:rPr>
            </w:pPr>
            <w:r w:rsidRPr="005314EB">
              <w:rPr>
                <w:rFonts w:ascii="Comenia Serif" w:hAnsi="Comenia Serif"/>
                <w:color w:val="auto"/>
                <w:sz w:val="20"/>
                <w:szCs w:val="20"/>
              </w:rPr>
              <w:t>Studie dochází k závěru, že</w:t>
            </w:r>
            <w:r w:rsidR="003C2599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r w:rsidR="0077059E" w:rsidRPr="005314EB">
              <w:rPr>
                <w:rFonts w:ascii="Comenia Serif" w:hAnsi="Comenia Serif"/>
                <w:color w:val="auto"/>
                <w:sz w:val="20"/>
                <w:szCs w:val="20"/>
              </w:rPr>
              <w:t>nově nastoupivší regulace na trhu se zdravotnickými prostředky negativně ovlivní hospodaření dotčených firem a oslabí jejich produktová portfolia</w:t>
            </w:r>
            <w:r w:rsidRPr="005314EB">
              <w:rPr>
                <w:rFonts w:ascii="Comenia Serif" w:hAnsi="Comenia Serif"/>
                <w:color w:val="auto"/>
                <w:sz w:val="20"/>
                <w:szCs w:val="20"/>
              </w:rPr>
              <w:t>.</w:t>
            </w:r>
            <w:r w:rsidR="003C2599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</w:p>
        </w:tc>
      </w:tr>
      <w:tr w:rsidR="00895A5A" w14:paraId="7E0C68F3" w14:textId="77777777" w:rsidTr="00BB4917">
        <w:tc>
          <w:tcPr>
            <w:tcW w:w="2263" w:type="dxa"/>
          </w:tcPr>
          <w:p w14:paraId="360A8A6F" w14:textId="67578E95" w:rsidR="00895A5A" w:rsidRDefault="00D43632" w:rsidP="00214F94">
            <w:pPr>
              <w:pStyle w:val="Default"/>
              <w:rPr>
                <w:rFonts w:ascii="Comenia Serif" w:hAnsi="Comenia Serif"/>
                <w:sz w:val="20"/>
                <w:szCs w:val="20"/>
              </w:rPr>
            </w:pPr>
            <w:r>
              <w:rPr>
                <w:rFonts w:ascii="Comenia Serif" w:hAnsi="Comenia Serif"/>
                <w:color w:val="auto"/>
                <w:sz w:val="20"/>
                <w:szCs w:val="20"/>
              </w:rPr>
              <w:t>V</w:t>
            </w:r>
            <w:r w:rsidRPr="00F07D59">
              <w:rPr>
                <w:rFonts w:ascii="Comenia Serif" w:hAnsi="Comenia Serif"/>
                <w:color w:val="auto"/>
                <w:sz w:val="20"/>
                <w:szCs w:val="20"/>
              </w:rPr>
              <w:t>yužití moderních technologií a nových přístupů ve vztahu ke</w:t>
            </w:r>
            <w:r w:rsidRPr="00F07D59">
              <w:rPr>
                <w:rFonts w:ascii="Calibri" w:hAnsi="Calibri" w:cs="Calibri"/>
                <w:color w:val="auto"/>
                <w:sz w:val="20"/>
                <w:szCs w:val="20"/>
              </w:rPr>
              <w:t> </w:t>
            </w:r>
            <w:r w:rsidRPr="00F07D59">
              <w:rPr>
                <w:rFonts w:ascii="Comenia Serif" w:hAnsi="Comenia Serif"/>
                <w:color w:val="auto"/>
                <w:sz w:val="20"/>
                <w:szCs w:val="20"/>
              </w:rPr>
              <w:t>zlep</w:t>
            </w:r>
            <w:r w:rsidRPr="00F07D59">
              <w:rPr>
                <w:rFonts w:ascii="Comenia Serif" w:hAnsi="Comenia Serif" w:cs="Comenia Serif"/>
                <w:color w:val="auto"/>
                <w:sz w:val="20"/>
                <w:szCs w:val="20"/>
              </w:rPr>
              <w:t>š</w:t>
            </w:r>
            <w:r w:rsidRPr="00F07D59">
              <w:rPr>
                <w:rFonts w:ascii="Comenia Serif" w:hAnsi="Comenia Serif"/>
                <w:color w:val="auto"/>
                <w:sz w:val="20"/>
                <w:szCs w:val="20"/>
              </w:rPr>
              <w:t>en</w:t>
            </w:r>
            <w:r w:rsidRPr="00F07D59">
              <w:rPr>
                <w:rFonts w:ascii="Comenia Serif" w:hAnsi="Comenia Serif" w:cs="Comenia Serif"/>
                <w:color w:val="auto"/>
                <w:sz w:val="20"/>
                <w:szCs w:val="20"/>
              </w:rPr>
              <w:t>í</w:t>
            </w:r>
            <w:r w:rsidRPr="00F07D59">
              <w:rPr>
                <w:rFonts w:ascii="Comenia Serif" w:hAnsi="Comenia Serif"/>
                <w:color w:val="auto"/>
                <w:sz w:val="20"/>
                <w:szCs w:val="20"/>
              </w:rPr>
              <w:t xml:space="preserve"> kvality </w:t>
            </w:r>
            <w:r w:rsidRPr="00F07D59">
              <w:rPr>
                <w:rFonts w:ascii="Comenia Serif" w:hAnsi="Comenia Serif" w:cs="Comenia Serif"/>
                <w:color w:val="auto"/>
                <w:sz w:val="20"/>
                <w:szCs w:val="20"/>
              </w:rPr>
              <w:t>ž</w:t>
            </w:r>
            <w:r w:rsidRPr="00F07D59">
              <w:rPr>
                <w:rFonts w:ascii="Comenia Serif" w:hAnsi="Comenia Serif"/>
                <w:color w:val="auto"/>
                <w:sz w:val="20"/>
                <w:szCs w:val="20"/>
              </w:rPr>
              <w:t>ivota</w:t>
            </w:r>
          </w:p>
        </w:tc>
        <w:tc>
          <w:tcPr>
            <w:tcW w:w="6860" w:type="dxa"/>
          </w:tcPr>
          <w:p w14:paraId="6705D9D8" w14:textId="19F69421" w:rsidR="0018178A" w:rsidRPr="005314EB" w:rsidRDefault="004D448E" w:rsidP="006E7FE7">
            <w:pPr>
              <w:pStyle w:val="Default"/>
              <w:rPr>
                <w:rFonts w:ascii="Comenia Serif" w:hAnsi="Comenia Serif"/>
                <w:strike/>
                <w:color w:val="auto"/>
                <w:sz w:val="20"/>
                <w:szCs w:val="20"/>
              </w:rPr>
            </w:pPr>
            <w:r w:rsidRPr="005314EB">
              <w:rPr>
                <w:rFonts w:ascii="Comenia Serif" w:hAnsi="Comenia Serif"/>
                <w:color w:val="auto"/>
                <w:sz w:val="20"/>
                <w:szCs w:val="20"/>
              </w:rPr>
              <w:t>Publikace podpořená projektem spadající do</w:t>
            </w:r>
            <w:r w:rsidR="00B64A53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této oblasti se zaměřuje na</w:t>
            </w:r>
            <w:r w:rsidR="003725AE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aspekty digitální ekonomiky (DE), fiskální decentralizace (FD) a cíle udržitelného rozvoje (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SDGs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)</w:t>
            </w:r>
            <w:r w:rsidR="003725AE" w:rsidRPr="005314EB">
              <w:rPr>
                <w:rFonts w:ascii="Comenia Serif" w:hAnsi="Comenia Serif"/>
                <w:color w:val="auto"/>
                <w:sz w:val="20"/>
                <w:szCs w:val="20"/>
              </w:rPr>
              <w:t>.</w:t>
            </w:r>
            <w:r w:rsidR="00B64A53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Autoři na základě provedené analýzy krom dalších dílčích zjištění docházejí například k závěru, že FD má významný negativní vliv na ekonomickou udržitelnost, ale výrazně pozitivní vliv na environmentální a sociální cíle udržitelného rozvoje</w:t>
            </w:r>
            <w:r w:rsidR="009E7417" w:rsidRPr="005314EB">
              <w:rPr>
                <w:rFonts w:ascii="Comenia Serif" w:hAnsi="Comenia Serif"/>
                <w:color w:val="auto"/>
                <w:sz w:val="20"/>
                <w:szCs w:val="20"/>
              </w:rPr>
              <w:t>.</w:t>
            </w:r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Kromě toho má FD významný pozitivní vliv na DE. Autoři na základě svých zjištění doporučují, aby tvůrci politik upřednostnili rozvoj širokopásmového přístupu k internetu, zdrojů elektronické správy a investovali do školicích programů pro digitální dovednosti.</w:t>
            </w:r>
          </w:p>
          <w:p w14:paraId="4D6D8822" w14:textId="4665815D" w:rsidR="00895A5A" w:rsidRPr="005314EB" w:rsidRDefault="0018178A" w:rsidP="003725AE">
            <w:pPr>
              <w:pStyle w:val="Default"/>
              <w:rPr>
                <w:rFonts w:ascii="Comenia Serif" w:hAnsi="Comenia Serif"/>
                <w:color w:val="auto"/>
                <w:sz w:val="20"/>
                <w:szCs w:val="20"/>
              </w:rPr>
            </w:pPr>
            <w:r w:rsidRPr="005314EB">
              <w:rPr>
                <w:rFonts w:ascii="Comenia Serif" w:hAnsi="Comenia Serif"/>
                <w:color w:val="auto"/>
                <w:sz w:val="20"/>
                <w:szCs w:val="20"/>
              </w:rPr>
              <w:t>(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Gariba</w:t>
            </w:r>
            <w:proofErr w:type="spellEnd"/>
            <w:r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,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Odei</w:t>
            </w:r>
            <w:proofErr w:type="spellEnd"/>
            <w:r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,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Febiri</w:t>
            </w:r>
            <w:proofErr w:type="spellEnd"/>
            <w:r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, </w:t>
            </w:r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&amp; Provazníková</w:t>
            </w:r>
            <w:r w:rsidR="003725AE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.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Exploring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the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mediating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role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of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digital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economy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in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the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relationship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between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fiscal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decentralization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and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the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SDGs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dimensions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in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the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EU</w:t>
            </w:r>
            <w:r w:rsidR="003725AE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. </w:t>
            </w:r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https://doi.org/10.1080/23322039.2024.2367219</w:t>
            </w:r>
          </w:p>
        </w:tc>
      </w:tr>
      <w:tr w:rsidR="00700DEB" w14:paraId="0FCB4722" w14:textId="77777777" w:rsidTr="00BB4917">
        <w:tc>
          <w:tcPr>
            <w:tcW w:w="2263" w:type="dxa"/>
          </w:tcPr>
          <w:p w14:paraId="458822D4" w14:textId="1EE5D8CC" w:rsidR="00700DEB" w:rsidRDefault="00700DEB" w:rsidP="00214F94">
            <w:pPr>
              <w:pStyle w:val="Default"/>
              <w:rPr>
                <w:rFonts w:ascii="Comenia Serif" w:hAnsi="Comenia Serif"/>
                <w:sz w:val="20"/>
                <w:szCs w:val="20"/>
              </w:rPr>
            </w:pPr>
            <w:r>
              <w:rPr>
                <w:rFonts w:ascii="Comenia Serif" w:hAnsi="Comenia Serif"/>
                <w:sz w:val="20"/>
                <w:szCs w:val="20"/>
              </w:rPr>
              <w:t>E</w:t>
            </w:r>
            <w:r w:rsidRPr="00700DEB">
              <w:rPr>
                <w:rFonts w:ascii="Comenia Serif" w:hAnsi="Comenia Serif"/>
                <w:sz w:val="20"/>
                <w:szCs w:val="20"/>
              </w:rPr>
              <w:t>fektivita inovace</w:t>
            </w:r>
            <w:r w:rsidR="00FB5F16">
              <w:rPr>
                <w:rFonts w:ascii="Comenia Serif" w:hAnsi="Comenia Serif"/>
                <w:sz w:val="20"/>
                <w:szCs w:val="20"/>
              </w:rPr>
              <w:t xml:space="preserve"> </w:t>
            </w:r>
            <w:r w:rsidR="00FB5F16" w:rsidRPr="00F07D59">
              <w:rPr>
                <w:rFonts w:ascii="Comenia Serif" w:hAnsi="Comenia Serif"/>
                <w:color w:val="auto"/>
                <w:sz w:val="20"/>
                <w:szCs w:val="20"/>
              </w:rPr>
              <w:t>a transferu technologií</w:t>
            </w:r>
          </w:p>
        </w:tc>
        <w:tc>
          <w:tcPr>
            <w:tcW w:w="6860" w:type="dxa"/>
          </w:tcPr>
          <w:p w14:paraId="1B3B376D" w14:textId="17185EC7" w:rsidR="00700DEB" w:rsidRPr="005314EB" w:rsidRDefault="00700DEB" w:rsidP="006E7FE7">
            <w:pPr>
              <w:pStyle w:val="Default"/>
              <w:rPr>
                <w:rFonts w:ascii="Comenia Serif" w:hAnsi="Comenia Serif"/>
                <w:color w:val="auto"/>
                <w:sz w:val="20"/>
                <w:szCs w:val="20"/>
              </w:rPr>
            </w:pPr>
            <w:r w:rsidRPr="005314EB">
              <w:rPr>
                <w:rFonts w:ascii="Comenia Serif" w:hAnsi="Comenia Serif"/>
                <w:color w:val="auto"/>
                <w:sz w:val="20"/>
                <w:szCs w:val="20"/>
              </w:rPr>
              <w:t>V této oblasti byl publikován výstup zaměřující se na</w:t>
            </w:r>
            <w:r w:rsidR="005C180E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investice do R&amp;D a</w:t>
            </w:r>
            <w:r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inovac</w:t>
            </w:r>
            <w:r w:rsidR="005C180E" w:rsidRPr="005314EB">
              <w:rPr>
                <w:rFonts w:ascii="Comenia Serif" w:hAnsi="Comenia Serif"/>
                <w:color w:val="auto"/>
                <w:sz w:val="20"/>
                <w:szCs w:val="20"/>
              </w:rPr>
              <w:t>í</w:t>
            </w:r>
            <w:r w:rsidRPr="005314EB">
              <w:rPr>
                <w:rFonts w:ascii="Comenia Serif" w:hAnsi="Comenia Serif"/>
                <w:color w:val="auto"/>
                <w:sz w:val="20"/>
                <w:szCs w:val="20"/>
              </w:rPr>
              <w:t>.</w:t>
            </w:r>
            <w:r w:rsidR="008C6EFE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Autoři </w:t>
            </w:r>
            <w:r w:rsidR="00E84AD6" w:rsidRPr="005314EB">
              <w:rPr>
                <w:rFonts w:ascii="Comenia Serif" w:hAnsi="Comenia Serif"/>
                <w:color w:val="auto"/>
                <w:sz w:val="20"/>
                <w:szCs w:val="20"/>
              </w:rPr>
              <w:t>na základě provedené analýzy</w:t>
            </w:r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r w:rsidR="005C180E" w:rsidRPr="005314EB">
              <w:rPr>
                <w:rFonts w:ascii="Comenia Serif" w:hAnsi="Comenia Serif"/>
                <w:color w:val="auto"/>
                <w:sz w:val="20"/>
                <w:szCs w:val="20"/>
              </w:rPr>
              <w:t>docházejí k několika dílčím zjištěním</w:t>
            </w:r>
            <w:r w:rsidR="000C0209" w:rsidRPr="005314EB">
              <w:rPr>
                <w:rFonts w:ascii="Comenia Serif" w:hAnsi="Comenia Serif"/>
                <w:color w:val="auto"/>
                <w:sz w:val="20"/>
                <w:szCs w:val="20"/>
              </w:rPr>
              <w:t>.</w:t>
            </w:r>
            <w:r w:rsidR="005C180E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Například že ochranné známky pozitivně a okrajově ovlivňují technologické inovace, ale nikoli výzkum a vývoj (na příkladu 549 firem). Nebo že domácí a mezinárodní inovační spolupráce s jinými firmami a univerzitami má pozitivní okrajový vliv jak na technologické inovace, tak na výzkum a vývoj. Ze zjištění vyplývají i doporučení pro podniky.</w:t>
            </w:r>
          </w:p>
          <w:p w14:paraId="12ACF1F7" w14:textId="73CF312D" w:rsidR="00700DEB" w:rsidRPr="005314EB" w:rsidRDefault="00700DEB" w:rsidP="00E84AD6">
            <w:pPr>
              <w:pStyle w:val="Default"/>
              <w:rPr>
                <w:rFonts w:ascii="Comenia Serif" w:hAnsi="Comenia Serif"/>
                <w:color w:val="auto"/>
                <w:sz w:val="20"/>
                <w:szCs w:val="20"/>
              </w:rPr>
            </w:pPr>
            <w:r w:rsidRPr="005314EB">
              <w:rPr>
                <w:rFonts w:ascii="Comenia Serif" w:hAnsi="Comenia Serif"/>
                <w:color w:val="auto"/>
                <w:sz w:val="20"/>
                <w:szCs w:val="20"/>
              </w:rPr>
              <w:t>(Odei</w:t>
            </w:r>
            <w:r w:rsidR="00E84AD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, </w:t>
            </w:r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et al</w:t>
            </w:r>
            <w:r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.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The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impacts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of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intellectual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protection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and R&amp;D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collaborations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on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firm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-level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innovations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: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the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moderating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role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of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internal</w:t>
            </w:r>
            <w:proofErr w:type="spellEnd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funding</w:t>
            </w:r>
            <w:proofErr w:type="spellEnd"/>
            <w:r w:rsidR="00E84AD6" w:rsidRPr="005314EB">
              <w:rPr>
                <w:rFonts w:ascii="Comenia Serif" w:hAnsi="Comenia Serif"/>
                <w:color w:val="auto"/>
                <w:sz w:val="20"/>
                <w:szCs w:val="20"/>
              </w:rPr>
              <w:t>.</w:t>
            </w:r>
            <w:r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r w:rsidR="00FB5F16" w:rsidRPr="005314EB">
              <w:rPr>
                <w:rFonts w:ascii="Comenia Serif" w:hAnsi="Comenia Serif"/>
                <w:color w:val="auto"/>
                <w:sz w:val="20"/>
                <w:szCs w:val="20"/>
              </w:rPr>
              <w:t>https://doi.org/10.1080/23322039.2024.2385657</w:t>
            </w:r>
          </w:p>
        </w:tc>
      </w:tr>
      <w:tr w:rsidR="001C7C89" w14:paraId="152BA105" w14:textId="77777777" w:rsidTr="00BB4917">
        <w:tc>
          <w:tcPr>
            <w:tcW w:w="2263" w:type="dxa"/>
          </w:tcPr>
          <w:p w14:paraId="48193D16" w14:textId="5642A5EF" w:rsidR="009D36D3" w:rsidRPr="005F49EB" w:rsidRDefault="00D43632" w:rsidP="00214F94">
            <w:pPr>
              <w:pStyle w:val="Default"/>
              <w:rPr>
                <w:rFonts w:ascii="Comenia Serif" w:hAnsi="Comenia Serif"/>
                <w:color w:val="FF0000"/>
                <w:sz w:val="20"/>
                <w:szCs w:val="20"/>
              </w:rPr>
            </w:pPr>
            <w:r>
              <w:rPr>
                <w:rFonts w:ascii="Comenia Serif" w:hAnsi="Comenia Serif"/>
                <w:color w:val="auto"/>
                <w:sz w:val="20"/>
                <w:szCs w:val="20"/>
              </w:rPr>
              <w:t>Z</w:t>
            </w:r>
            <w:r w:rsidR="009D36D3" w:rsidRPr="00F07D59">
              <w:rPr>
                <w:rFonts w:ascii="Comenia Serif" w:hAnsi="Comenia Serif"/>
                <w:color w:val="auto"/>
                <w:sz w:val="20"/>
                <w:szCs w:val="20"/>
              </w:rPr>
              <w:t>měny makroekonomických ukazatelů vybraných ekonomik, dopad vybraných aspektů na vývoj kvality života, ale také na finanční nebo energetické trhy</w:t>
            </w:r>
          </w:p>
        </w:tc>
        <w:tc>
          <w:tcPr>
            <w:tcW w:w="6860" w:type="dxa"/>
          </w:tcPr>
          <w:p w14:paraId="7DF71EED" w14:textId="73A6BD50" w:rsidR="00951B60" w:rsidRPr="005314EB" w:rsidRDefault="00951B60" w:rsidP="006E7FE7">
            <w:pPr>
              <w:pStyle w:val="Default"/>
              <w:rPr>
                <w:rFonts w:ascii="Comenia Serif" w:hAnsi="Comenia Serif"/>
                <w:color w:val="auto"/>
                <w:sz w:val="20"/>
                <w:szCs w:val="20"/>
              </w:rPr>
            </w:pPr>
            <w:r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V kontextu </w:t>
            </w:r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nových přístupů ve vztahu ke zlepšení kvality života</w:t>
            </w:r>
            <w:r w:rsidR="00BF51C7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se jeden</w:t>
            </w:r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výstup věnuje</w:t>
            </w:r>
            <w:r w:rsidR="00BF51C7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transformaci energetických portfolií od fosilní paliv k obnovitelným zdrojům energie a to i s ohledem na HDP vybraných zemí</w:t>
            </w:r>
            <w:r w:rsidRPr="005314EB">
              <w:rPr>
                <w:rFonts w:ascii="Comenia Serif" w:hAnsi="Comenia Serif"/>
                <w:color w:val="auto"/>
                <w:sz w:val="20"/>
                <w:szCs w:val="20"/>
              </w:rPr>
              <w:t>.</w:t>
            </w:r>
            <w:r w:rsidR="00DB1949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Článek mimo jiné dochází k</w:t>
            </w:r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 tomuto </w:t>
            </w:r>
            <w:r w:rsidR="00DB1949" w:rsidRPr="005314EB">
              <w:rPr>
                <w:rFonts w:ascii="Comenia Serif" w:hAnsi="Comenia Serif"/>
                <w:color w:val="auto"/>
                <w:sz w:val="20"/>
                <w:szCs w:val="20"/>
              </w:rPr>
              <w:t>závěru</w:t>
            </w:r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: Dlouhodobá perspektiva ukazuje, že oba konvenční výrobní faktory, zahrnující spotřebu obnovitelné i neobnovitelné energie (</w:t>
            </w:r>
            <w:proofErr w:type="spellStart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Fosil</w:t>
            </w:r>
            <w:proofErr w:type="spellEnd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Fuel</w:t>
            </w:r>
            <w:proofErr w:type="spellEnd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Energy</w:t>
            </w:r>
            <w:proofErr w:type="spellEnd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– FEF), pozitivně přispívají k růstu HDP ve vybraných zemích</w:t>
            </w:r>
            <w:r w:rsidR="00C70ECA" w:rsidRPr="005314EB">
              <w:rPr>
                <w:rFonts w:ascii="Comenia Serif" w:hAnsi="Comenia Serif"/>
                <w:color w:val="auto"/>
                <w:sz w:val="20"/>
                <w:szCs w:val="20"/>
              </w:rPr>
              <w:t>.</w:t>
            </w:r>
          </w:p>
          <w:p w14:paraId="0B4946BE" w14:textId="1E497293" w:rsidR="001C7C89" w:rsidRPr="005314EB" w:rsidRDefault="00951B60" w:rsidP="006E7FE7">
            <w:pPr>
              <w:pStyle w:val="Default"/>
              <w:rPr>
                <w:rFonts w:ascii="Comenia Serif" w:hAnsi="Comenia Serif"/>
                <w:color w:val="auto"/>
                <w:sz w:val="20"/>
                <w:szCs w:val="20"/>
              </w:rPr>
            </w:pPr>
            <w:r w:rsidRPr="005314EB">
              <w:rPr>
                <w:rFonts w:ascii="Comenia Serif" w:hAnsi="Comenia Serif"/>
                <w:color w:val="auto"/>
                <w:sz w:val="20"/>
                <w:szCs w:val="20"/>
              </w:rPr>
              <w:t>(</w:t>
            </w:r>
            <w:proofErr w:type="spellStart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Nosheen</w:t>
            </w:r>
            <w:proofErr w:type="spellEnd"/>
            <w:r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, </w:t>
            </w:r>
            <w:proofErr w:type="spellStart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Akbar</w:t>
            </w:r>
            <w:proofErr w:type="spellEnd"/>
            <w:r w:rsidRPr="005314EB">
              <w:rPr>
                <w:rFonts w:ascii="Comenia Serif" w:hAnsi="Comenia Serif"/>
                <w:color w:val="auto"/>
                <w:sz w:val="20"/>
                <w:szCs w:val="20"/>
              </w:rPr>
              <w:t>,</w:t>
            </w:r>
            <w:r w:rsidR="006479BE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Sohail</w:t>
            </w:r>
            <w:proofErr w:type="spellEnd"/>
            <w:r w:rsidR="006479BE" w:rsidRPr="005314EB">
              <w:rPr>
                <w:rFonts w:ascii="Comenia Serif" w:hAnsi="Comenia Serif"/>
                <w:color w:val="auto"/>
                <w:sz w:val="20"/>
                <w:szCs w:val="20"/>
              </w:rPr>
              <w:t>,</w:t>
            </w:r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Iqbal</w:t>
            </w:r>
            <w:proofErr w:type="spellEnd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,</w:t>
            </w:r>
            <w:r w:rsidR="006479BE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6479BE" w:rsidRPr="005314EB">
              <w:rPr>
                <w:rFonts w:ascii="Comenia Serif" w:hAnsi="Comenia Serif"/>
                <w:color w:val="auto"/>
                <w:sz w:val="20"/>
                <w:szCs w:val="20"/>
              </w:rPr>
              <w:t>Hedvicaková</w:t>
            </w:r>
            <w:proofErr w:type="spellEnd"/>
            <w:r w:rsidR="000D6579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, </w:t>
            </w:r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et al</w:t>
            </w:r>
            <w:r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. </w:t>
            </w:r>
            <w:proofErr w:type="spellStart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From</w:t>
            </w:r>
            <w:proofErr w:type="spellEnd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Fossil</w:t>
            </w:r>
            <w:proofErr w:type="spellEnd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to </w:t>
            </w:r>
            <w:proofErr w:type="spellStart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Future</w:t>
            </w:r>
            <w:proofErr w:type="spellEnd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: </w:t>
            </w:r>
            <w:proofErr w:type="spellStart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The</w:t>
            </w:r>
            <w:proofErr w:type="spellEnd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Transformative</w:t>
            </w:r>
            <w:proofErr w:type="spellEnd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Role </w:t>
            </w:r>
            <w:proofErr w:type="spellStart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of</w:t>
            </w:r>
            <w:proofErr w:type="spellEnd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Renewable</w:t>
            </w:r>
            <w:proofErr w:type="spellEnd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Energy</w:t>
            </w:r>
            <w:proofErr w:type="spellEnd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in </w:t>
            </w:r>
            <w:proofErr w:type="spellStart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Shaping</w:t>
            </w:r>
            <w:proofErr w:type="spellEnd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Economic</w:t>
            </w:r>
            <w:proofErr w:type="spellEnd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Landscapes</w:t>
            </w:r>
            <w:proofErr w:type="spellEnd"/>
            <w:r w:rsidRPr="005314EB">
              <w:rPr>
                <w:rFonts w:ascii="Comenia Serif" w:hAnsi="Comenia Serif"/>
                <w:color w:val="auto"/>
                <w:sz w:val="20"/>
                <w:szCs w:val="20"/>
              </w:rPr>
              <w:t>.</w:t>
            </w:r>
            <w:r w:rsidR="00B91AF7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International </w:t>
            </w:r>
            <w:proofErr w:type="spellStart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Journal</w:t>
            </w:r>
            <w:proofErr w:type="spellEnd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of</w:t>
            </w:r>
            <w:proofErr w:type="spellEnd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Energy</w:t>
            </w:r>
            <w:proofErr w:type="spellEnd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Economics</w:t>
            </w:r>
            <w:proofErr w:type="spellEnd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 and </w:t>
            </w:r>
            <w:proofErr w:type="spellStart"/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Policy</w:t>
            </w:r>
            <w:proofErr w:type="spellEnd"/>
            <w:r w:rsidR="0077059E" w:rsidRPr="005314EB">
              <w:rPr>
                <w:rFonts w:ascii="Comenia Serif" w:hAnsi="Comenia Serif"/>
                <w:color w:val="auto"/>
                <w:sz w:val="20"/>
                <w:szCs w:val="20"/>
              </w:rPr>
              <w:t xml:space="preserve">. </w:t>
            </w:r>
            <w:r w:rsidR="009D36D3" w:rsidRPr="005314EB">
              <w:rPr>
                <w:rFonts w:ascii="Comenia Serif" w:hAnsi="Comenia Serif"/>
                <w:color w:val="auto"/>
                <w:sz w:val="20"/>
                <w:szCs w:val="20"/>
              </w:rPr>
              <w:t>https://doi.org/10.32479/ijeep.16006</w:t>
            </w:r>
            <w:r w:rsidRPr="005314EB">
              <w:rPr>
                <w:rFonts w:ascii="Comenia Serif" w:hAnsi="Comenia Serif"/>
                <w:color w:val="auto"/>
                <w:sz w:val="20"/>
                <w:szCs w:val="20"/>
              </w:rPr>
              <w:t>)</w:t>
            </w:r>
          </w:p>
        </w:tc>
      </w:tr>
    </w:tbl>
    <w:p w14:paraId="5F0FEBE7" w14:textId="77777777" w:rsidR="00776E98" w:rsidRDefault="00776E98" w:rsidP="00214F94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64C6447E" w14:textId="266E087F" w:rsidR="00812BDE" w:rsidRPr="0020240A" w:rsidRDefault="00812BDE" w:rsidP="00812BDE">
      <w:pPr>
        <w:pStyle w:val="Default"/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>Další přehled o zaměření výstupů a jejich výsledků lze zjistit z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Comenia Serif" w:hAnsi="Comenia Serif"/>
          <w:sz w:val="20"/>
          <w:szCs w:val="20"/>
        </w:rPr>
        <w:t>přílohy k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Comenia Serif" w:hAnsi="Comenia Serif"/>
          <w:sz w:val="20"/>
          <w:szCs w:val="20"/>
        </w:rPr>
        <w:t>této výroční zprávě „</w:t>
      </w:r>
      <w:r w:rsidR="00705F55">
        <w:rPr>
          <w:rFonts w:ascii="Comenia Serif" w:hAnsi="Comenia Serif"/>
          <w:sz w:val="20"/>
          <w:szCs w:val="20"/>
        </w:rPr>
        <w:t>V</w:t>
      </w:r>
      <w:r w:rsidR="00705F55" w:rsidRPr="00705F55">
        <w:rPr>
          <w:rFonts w:ascii="Comenia Serif" w:hAnsi="Comenia Serif"/>
          <w:sz w:val="20"/>
          <w:szCs w:val="20"/>
        </w:rPr>
        <w:t>ýsledky publikační činnosti podpořené projektem</w:t>
      </w:r>
      <w:r>
        <w:rPr>
          <w:rFonts w:ascii="Comenia Serif" w:hAnsi="Comenia Serif"/>
          <w:sz w:val="20"/>
          <w:szCs w:val="20"/>
        </w:rPr>
        <w:t>“.</w:t>
      </w:r>
    </w:p>
    <w:p w14:paraId="35199727" w14:textId="77777777" w:rsidR="00812BDE" w:rsidRDefault="00812BDE" w:rsidP="00214F94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0E43859C" w14:textId="6666F9A6" w:rsidR="00214F94" w:rsidRPr="001E66A9" w:rsidRDefault="00214F94" w:rsidP="00214F94">
      <w:pPr>
        <w:pStyle w:val="Default"/>
        <w:rPr>
          <w:rFonts w:ascii="Comenia Serif" w:hAnsi="Comenia Serif"/>
          <w:b/>
          <w:bCs/>
          <w:color w:val="auto"/>
          <w:sz w:val="20"/>
          <w:szCs w:val="20"/>
        </w:rPr>
      </w:pPr>
      <w:r w:rsidRPr="001E66A9">
        <w:rPr>
          <w:rFonts w:ascii="Comenia Serif" w:hAnsi="Comenia Serif"/>
          <w:b/>
          <w:bCs/>
          <w:color w:val="auto"/>
          <w:sz w:val="20"/>
          <w:szCs w:val="20"/>
        </w:rPr>
        <w:t>Kontrolovatelné výsledky řešení</w:t>
      </w:r>
    </w:p>
    <w:p w14:paraId="3C93AE36" w14:textId="7CB36A2B" w:rsidR="00B619C5" w:rsidRPr="001E66A9" w:rsidRDefault="003D5D00" w:rsidP="00B619C5">
      <w:pPr>
        <w:jc w:val="both"/>
        <w:rPr>
          <w:rFonts w:ascii="Comenia Serif" w:hAnsi="Comenia Serif"/>
          <w:sz w:val="20"/>
          <w:szCs w:val="20"/>
        </w:rPr>
      </w:pPr>
      <w:r w:rsidRPr="001E66A9">
        <w:rPr>
          <w:rFonts w:ascii="Comenia Serif" w:hAnsi="Comenia Serif"/>
          <w:sz w:val="20"/>
          <w:szCs w:val="20"/>
        </w:rPr>
        <w:t>V</w:t>
      </w:r>
      <w:r w:rsidRPr="001E66A9">
        <w:rPr>
          <w:rFonts w:ascii="Calibri" w:hAnsi="Calibri" w:cs="Calibri"/>
          <w:sz w:val="20"/>
          <w:szCs w:val="20"/>
        </w:rPr>
        <w:t> </w:t>
      </w:r>
      <w:r w:rsidRPr="001E66A9">
        <w:rPr>
          <w:rFonts w:ascii="Comenia Serif" w:hAnsi="Comenia Serif"/>
          <w:sz w:val="20"/>
          <w:szCs w:val="20"/>
        </w:rPr>
        <w:t>rámci plánování projektu bylo přislíbeno</w:t>
      </w:r>
      <w:r w:rsidR="00B619C5" w:rsidRPr="001E66A9">
        <w:rPr>
          <w:rFonts w:ascii="Comenia Serif" w:hAnsi="Comenia Serif"/>
          <w:sz w:val="20"/>
          <w:szCs w:val="20"/>
        </w:rPr>
        <w:t xml:space="preserve">: </w:t>
      </w:r>
      <w:r w:rsidR="00543B5D">
        <w:rPr>
          <w:rFonts w:ascii="Comenia Serif" w:hAnsi="Comenia Serif"/>
          <w:sz w:val="20"/>
          <w:szCs w:val="20"/>
        </w:rPr>
        <w:t>tři</w:t>
      </w:r>
      <w:r w:rsidR="00B619C5" w:rsidRPr="001E66A9">
        <w:rPr>
          <w:rFonts w:ascii="Comenia Serif" w:hAnsi="Comenia Serif"/>
          <w:sz w:val="20"/>
          <w:szCs w:val="20"/>
        </w:rPr>
        <w:t xml:space="preserve"> výstup</w:t>
      </w:r>
      <w:r w:rsidR="00680554" w:rsidRPr="001E66A9">
        <w:rPr>
          <w:rFonts w:ascii="Comenia Serif" w:hAnsi="Comenia Serif"/>
          <w:sz w:val="20"/>
          <w:szCs w:val="20"/>
        </w:rPr>
        <w:t>y</w:t>
      </w:r>
      <w:r w:rsidR="00B619C5" w:rsidRPr="001E66A9">
        <w:rPr>
          <w:rFonts w:ascii="Comenia Serif" w:hAnsi="Comenia Serif"/>
          <w:sz w:val="20"/>
          <w:szCs w:val="20"/>
        </w:rPr>
        <w:t xml:space="preserve"> s</w:t>
      </w:r>
      <w:r w:rsidR="00B619C5" w:rsidRPr="001E66A9">
        <w:rPr>
          <w:rFonts w:ascii="Calibri" w:hAnsi="Calibri" w:cs="Calibri"/>
          <w:sz w:val="20"/>
          <w:szCs w:val="20"/>
        </w:rPr>
        <w:t> </w:t>
      </w:r>
      <w:r w:rsidR="00B619C5" w:rsidRPr="001E66A9">
        <w:rPr>
          <w:rFonts w:ascii="Comenia Serif" w:hAnsi="Comenia Serif"/>
          <w:sz w:val="20"/>
          <w:szCs w:val="20"/>
        </w:rPr>
        <w:t xml:space="preserve">nenulovým IF: </w:t>
      </w:r>
      <w:r w:rsidR="00DF1201">
        <w:rPr>
          <w:rFonts w:ascii="Comenia Serif" w:hAnsi="Comenia Serif"/>
          <w:sz w:val="20"/>
          <w:szCs w:val="20"/>
        </w:rPr>
        <w:t>240</w:t>
      </w:r>
      <w:r w:rsidR="00B619C5" w:rsidRPr="001E66A9">
        <w:rPr>
          <w:rFonts w:ascii="Comenia Serif" w:hAnsi="Comenia Serif"/>
          <w:sz w:val="20"/>
          <w:szCs w:val="20"/>
        </w:rPr>
        <w:t xml:space="preserve"> FIM, </w:t>
      </w:r>
      <w:r w:rsidR="00DF1201">
        <w:rPr>
          <w:rFonts w:ascii="Comenia Serif" w:hAnsi="Comenia Serif"/>
          <w:sz w:val="20"/>
          <w:szCs w:val="20"/>
        </w:rPr>
        <w:t>2</w:t>
      </w:r>
      <w:r w:rsidR="00B619C5" w:rsidRPr="001E66A9">
        <w:rPr>
          <w:rFonts w:ascii="Comenia Serif" w:hAnsi="Comenia Serif"/>
          <w:sz w:val="20"/>
          <w:szCs w:val="20"/>
        </w:rPr>
        <w:t xml:space="preserve"> výstup</w:t>
      </w:r>
      <w:r w:rsidR="00CA4072" w:rsidRPr="001E66A9">
        <w:rPr>
          <w:rFonts w:ascii="Comenia Serif" w:hAnsi="Comenia Serif"/>
          <w:sz w:val="20"/>
          <w:szCs w:val="20"/>
        </w:rPr>
        <w:t>y</w:t>
      </w:r>
      <w:r w:rsidR="00B619C5" w:rsidRPr="001E66A9">
        <w:rPr>
          <w:rFonts w:ascii="Comenia Serif" w:hAnsi="Comenia Serif"/>
          <w:sz w:val="20"/>
          <w:szCs w:val="20"/>
        </w:rPr>
        <w:t xml:space="preserve"> do</w:t>
      </w:r>
      <w:r w:rsidR="00CA4072" w:rsidRPr="001E66A9">
        <w:rPr>
          <w:rFonts w:ascii="Calibri" w:hAnsi="Calibri" w:cs="Calibri"/>
          <w:sz w:val="20"/>
          <w:szCs w:val="20"/>
        </w:rPr>
        <w:t> </w:t>
      </w:r>
      <w:r w:rsidR="00B619C5" w:rsidRPr="001E66A9">
        <w:rPr>
          <w:rFonts w:ascii="Comenia Serif" w:hAnsi="Comenia Serif"/>
          <w:sz w:val="20"/>
          <w:szCs w:val="20"/>
        </w:rPr>
        <w:t xml:space="preserve">časopisu </w:t>
      </w:r>
      <w:proofErr w:type="spellStart"/>
      <w:r w:rsidR="00B619C5" w:rsidRPr="001E66A9">
        <w:rPr>
          <w:rFonts w:ascii="Comenia Serif" w:hAnsi="Comenia Serif"/>
          <w:sz w:val="20"/>
          <w:szCs w:val="20"/>
        </w:rPr>
        <w:t>JScopus</w:t>
      </w:r>
      <w:proofErr w:type="spellEnd"/>
      <w:r w:rsidR="00B619C5" w:rsidRPr="001E66A9">
        <w:rPr>
          <w:rFonts w:ascii="Comenia Serif" w:hAnsi="Comenia Serif"/>
          <w:sz w:val="20"/>
          <w:szCs w:val="20"/>
        </w:rPr>
        <w:t xml:space="preserve"> nebo s</w:t>
      </w:r>
      <w:r w:rsidR="00B619C5" w:rsidRPr="001E66A9">
        <w:rPr>
          <w:rFonts w:ascii="Calibri" w:hAnsi="Calibri" w:cs="Calibri"/>
          <w:sz w:val="20"/>
          <w:szCs w:val="20"/>
        </w:rPr>
        <w:t> </w:t>
      </w:r>
      <w:r w:rsidR="00BF4654" w:rsidRPr="001E66A9">
        <w:rPr>
          <w:rFonts w:ascii="Comenia Serif" w:hAnsi="Comenia Serif"/>
          <w:sz w:val="20"/>
          <w:szCs w:val="20"/>
        </w:rPr>
        <w:t xml:space="preserve">ESCI indexem: </w:t>
      </w:r>
      <w:r w:rsidR="00DF1201">
        <w:rPr>
          <w:rFonts w:ascii="Comenia Serif" w:hAnsi="Comenia Serif"/>
          <w:sz w:val="20"/>
          <w:szCs w:val="20"/>
        </w:rPr>
        <w:t>60</w:t>
      </w:r>
      <w:r w:rsidR="00B619C5" w:rsidRPr="001E66A9">
        <w:rPr>
          <w:rFonts w:ascii="Comenia Serif" w:hAnsi="Comenia Serif"/>
          <w:sz w:val="20"/>
          <w:szCs w:val="20"/>
        </w:rPr>
        <w:t xml:space="preserve"> FIM, </w:t>
      </w:r>
      <w:r w:rsidR="009204E1" w:rsidRPr="001E66A9">
        <w:rPr>
          <w:rFonts w:ascii="Comenia Serif" w:hAnsi="Comenia Serif"/>
          <w:sz w:val="20"/>
          <w:szCs w:val="20"/>
        </w:rPr>
        <w:t>jeden článek</w:t>
      </w:r>
      <w:r w:rsidR="00B619C5" w:rsidRPr="001E66A9">
        <w:rPr>
          <w:rFonts w:ascii="Comenia Serif" w:hAnsi="Comenia Serif"/>
          <w:sz w:val="20"/>
          <w:szCs w:val="20"/>
        </w:rPr>
        <w:t xml:space="preserve"> na konferenci LNCS, LNEE: 20</w:t>
      </w:r>
      <w:r w:rsidR="00EB646C" w:rsidRPr="001E66A9">
        <w:rPr>
          <w:rFonts w:ascii="Calibri" w:hAnsi="Calibri" w:cs="Calibri"/>
          <w:sz w:val="20"/>
          <w:szCs w:val="20"/>
        </w:rPr>
        <w:t> </w:t>
      </w:r>
      <w:r w:rsidR="00B619C5" w:rsidRPr="001E66A9">
        <w:rPr>
          <w:rFonts w:ascii="Comenia Serif" w:hAnsi="Comenia Serif"/>
          <w:sz w:val="20"/>
          <w:szCs w:val="20"/>
        </w:rPr>
        <w:t xml:space="preserve">FIM bodů, </w:t>
      </w:r>
      <w:r w:rsidR="000B2581">
        <w:rPr>
          <w:rFonts w:ascii="Comenia Serif" w:hAnsi="Comenia Serif"/>
          <w:sz w:val="20"/>
          <w:szCs w:val="20"/>
        </w:rPr>
        <w:t>3</w:t>
      </w:r>
      <w:r w:rsidR="00B619C5" w:rsidRPr="001E66A9">
        <w:rPr>
          <w:rFonts w:ascii="Comenia Serif" w:hAnsi="Comenia Serif"/>
          <w:sz w:val="20"/>
          <w:szCs w:val="20"/>
        </w:rPr>
        <w:t xml:space="preserve"> příspěvk</w:t>
      </w:r>
      <w:r w:rsidR="00680554" w:rsidRPr="001E66A9">
        <w:rPr>
          <w:rFonts w:ascii="Comenia Serif" w:hAnsi="Comenia Serif"/>
          <w:sz w:val="20"/>
          <w:szCs w:val="20"/>
        </w:rPr>
        <w:t>y</w:t>
      </w:r>
      <w:r w:rsidR="00B619C5" w:rsidRPr="001E66A9">
        <w:rPr>
          <w:rFonts w:ascii="Comenia Serif" w:hAnsi="Comenia Serif"/>
          <w:sz w:val="20"/>
          <w:szCs w:val="20"/>
        </w:rPr>
        <w:t xml:space="preserve"> typu D, které budou publikovat</w:t>
      </w:r>
      <w:r w:rsidR="009204E1" w:rsidRPr="001E66A9">
        <w:rPr>
          <w:rFonts w:ascii="Comenia Serif" w:hAnsi="Comenia Serif"/>
          <w:sz w:val="20"/>
          <w:szCs w:val="20"/>
        </w:rPr>
        <w:t xml:space="preserve"> zejména</w:t>
      </w:r>
      <w:r w:rsidR="00B619C5" w:rsidRPr="001E66A9">
        <w:rPr>
          <w:rFonts w:ascii="Comenia Serif" w:hAnsi="Comenia Serif"/>
          <w:sz w:val="20"/>
          <w:szCs w:val="20"/>
        </w:rPr>
        <w:t xml:space="preserve"> studenti doktorského studia (každý student doktorského studia průměrně 1 článek za rok): </w:t>
      </w:r>
      <w:r w:rsidR="00680554" w:rsidRPr="001E66A9">
        <w:rPr>
          <w:rFonts w:ascii="Comenia Serif" w:hAnsi="Comenia Serif"/>
          <w:sz w:val="20"/>
          <w:szCs w:val="20"/>
        </w:rPr>
        <w:t>1</w:t>
      </w:r>
      <w:r w:rsidR="000B2581">
        <w:rPr>
          <w:rFonts w:ascii="Comenia Serif" w:hAnsi="Comenia Serif"/>
          <w:sz w:val="20"/>
          <w:szCs w:val="20"/>
        </w:rPr>
        <w:t>2</w:t>
      </w:r>
      <w:r w:rsidR="00B619C5" w:rsidRPr="001E66A9">
        <w:rPr>
          <w:rFonts w:ascii="Comenia Serif" w:hAnsi="Comenia Serif"/>
          <w:sz w:val="20"/>
          <w:szCs w:val="20"/>
        </w:rPr>
        <w:t xml:space="preserve"> FIM bodů, celkově tedy </w:t>
      </w:r>
      <w:r w:rsidR="000B2581">
        <w:rPr>
          <w:rFonts w:ascii="Comenia Serif" w:hAnsi="Comenia Serif"/>
          <w:sz w:val="20"/>
          <w:szCs w:val="20"/>
        </w:rPr>
        <w:t>332</w:t>
      </w:r>
      <w:r w:rsidR="00B619C5" w:rsidRPr="001E66A9">
        <w:rPr>
          <w:rFonts w:ascii="Comenia Serif" w:hAnsi="Comenia Serif"/>
          <w:sz w:val="20"/>
          <w:szCs w:val="20"/>
        </w:rPr>
        <w:t xml:space="preserve"> FIM bodů</w:t>
      </w:r>
      <w:r w:rsidR="00B44E37" w:rsidRPr="001E66A9">
        <w:rPr>
          <w:rFonts w:ascii="Comenia Serif" w:hAnsi="Comenia Serif"/>
          <w:sz w:val="20"/>
          <w:szCs w:val="20"/>
        </w:rPr>
        <w:t>,</w:t>
      </w:r>
      <w:r w:rsidR="00B1074B" w:rsidRPr="001E66A9">
        <w:rPr>
          <w:rFonts w:ascii="Comenia Serif" w:hAnsi="Comenia Serif"/>
          <w:sz w:val="20"/>
          <w:szCs w:val="20"/>
        </w:rPr>
        <w:t xml:space="preserve"> </w:t>
      </w:r>
      <w:r w:rsidR="00B44E37" w:rsidRPr="001E66A9">
        <w:rPr>
          <w:rFonts w:ascii="Comenia Serif" w:hAnsi="Comenia Serif"/>
          <w:sz w:val="20"/>
          <w:szCs w:val="20"/>
        </w:rPr>
        <w:t>r</w:t>
      </w:r>
      <w:r w:rsidR="00B1074B" w:rsidRPr="001E66A9">
        <w:rPr>
          <w:rFonts w:ascii="Comenia Serif" w:hAnsi="Comenia Serif"/>
          <w:sz w:val="20"/>
          <w:szCs w:val="20"/>
        </w:rPr>
        <w:t xml:space="preserve">espektive po </w:t>
      </w:r>
      <w:r w:rsidR="00B44E37" w:rsidRPr="001E66A9">
        <w:rPr>
          <w:rFonts w:ascii="Comenia Serif" w:hAnsi="Comenia Serif"/>
          <w:sz w:val="20"/>
          <w:szCs w:val="20"/>
        </w:rPr>
        <w:t xml:space="preserve">úpravě požadavku na rozpočet </w:t>
      </w:r>
      <w:r w:rsidR="005314EB">
        <w:rPr>
          <w:rFonts w:ascii="Comenia Serif" w:hAnsi="Comenia Serif"/>
          <w:sz w:val="20"/>
          <w:szCs w:val="20"/>
        </w:rPr>
        <w:t>214</w:t>
      </w:r>
      <w:r w:rsidR="00B44E37" w:rsidRPr="001E66A9">
        <w:rPr>
          <w:rFonts w:ascii="Comenia Serif" w:hAnsi="Comenia Serif"/>
          <w:sz w:val="20"/>
          <w:szCs w:val="20"/>
        </w:rPr>
        <w:t xml:space="preserve"> FIM bodů</w:t>
      </w:r>
      <w:r w:rsidR="00A47B14">
        <w:rPr>
          <w:rFonts w:ascii="Comenia Serif" w:hAnsi="Comenia Serif"/>
          <w:sz w:val="20"/>
          <w:szCs w:val="20"/>
        </w:rPr>
        <w:t xml:space="preserve"> (</w:t>
      </w:r>
      <w:r w:rsidR="00826DDB">
        <w:rPr>
          <w:rFonts w:ascii="Comenia Serif" w:hAnsi="Comenia Serif"/>
          <w:sz w:val="20"/>
          <w:szCs w:val="20"/>
        </w:rPr>
        <w:t>3</w:t>
      </w:r>
      <w:r w:rsidR="00A47B14">
        <w:rPr>
          <w:rFonts w:ascii="Comenia Serif" w:hAnsi="Comenia Serif"/>
          <w:sz w:val="20"/>
          <w:szCs w:val="20"/>
        </w:rPr>
        <w:t xml:space="preserve">x </w:t>
      </w:r>
      <w:proofErr w:type="spellStart"/>
      <w:r w:rsidR="00A47B14">
        <w:rPr>
          <w:rFonts w:ascii="Comenia Serif" w:hAnsi="Comenia Serif"/>
          <w:sz w:val="20"/>
          <w:szCs w:val="20"/>
        </w:rPr>
        <w:t>Jimp</w:t>
      </w:r>
      <w:proofErr w:type="spellEnd"/>
      <w:r w:rsidR="00A47B14">
        <w:rPr>
          <w:rFonts w:ascii="Comenia Serif" w:hAnsi="Comenia Serif"/>
          <w:sz w:val="20"/>
          <w:szCs w:val="20"/>
        </w:rPr>
        <w:t xml:space="preserve"> 1</w:t>
      </w:r>
      <w:r w:rsidR="001C3E99">
        <w:rPr>
          <w:rFonts w:ascii="Comenia Serif" w:hAnsi="Comenia Serif"/>
          <w:sz w:val="20"/>
          <w:szCs w:val="20"/>
        </w:rPr>
        <w:t>5</w:t>
      </w:r>
      <w:r w:rsidR="00A47B14">
        <w:rPr>
          <w:rFonts w:ascii="Comenia Serif" w:hAnsi="Comenia Serif"/>
          <w:sz w:val="20"/>
          <w:szCs w:val="20"/>
        </w:rPr>
        <w:t xml:space="preserve">4 bodů, </w:t>
      </w:r>
      <w:r w:rsidR="00826DDB">
        <w:rPr>
          <w:rFonts w:ascii="Comenia Serif" w:hAnsi="Comenia Serif"/>
          <w:sz w:val="20"/>
          <w:szCs w:val="20"/>
        </w:rPr>
        <w:t xml:space="preserve">3x ESCI nebo </w:t>
      </w:r>
      <w:proofErr w:type="spellStart"/>
      <w:r w:rsidR="00826DDB">
        <w:rPr>
          <w:rFonts w:ascii="Comenia Serif" w:hAnsi="Comenia Serif"/>
          <w:sz w:val="20"/>
          <w:szCs w:val="20"/>
        </w:rPr>
        <w:t>Scopus</w:t>
      </w:r>
      <w:proofErr w:type="spellEnd"/>
      <w:r w:rsidR="00826DDB">
        <w:rPr>
          <w:rFonts w:ascii="Comenia Serif" w:hAnsi="Comenia Serif"/>
          <w:sz w:val="20"/>
          <w:szCs w:val="20"/>
        </w:rPr>
        <w:t xml:space="preserve"> </w:t>
      </w:r>
      <w:r w:rsidR="001C3E99">
        <w:rPr>
          <w:rFonts w:ascii="Comenia Serif" w:hAnsi="Comenia Serif"/>
          <w:sz w:val="20"/>
          <w:szCs w:val="20"/>
        </w:rPr>
        <w:t>60 bodů)</w:t>
      </w:r>
      <w:r w:rsidR="00B44E37" w:rsidRPr="001E66A9">
        <w:rPr>
          <w:rFonts w:ascii="Comenia Serif" w:hAnsi="Comenia Serif"/>
          <w:sz w:val="20"/>
          <w:szCs w:val="20"/>
        </w:rPr>
        <w:t>.</w:t>
      </w:r>
    </w:p>
    <w:p w14:paraId="01562773" w14:textId="6822E2AA" w:rsidR="003D5D00" w:rsidRPr="001E66A9" w:rsidRDefault="003D5D00" w:rsidP="003D5D00">
      <w:pPr>
        <w:jc w:val="both"/>
        <w:rPr>
          <w:rFonts w:ascii="Comenia Serif" w:hAnsi="Comenia Serif"/>
          <w:sz w:val="20"/>
          <w:szCs w:val="20"/>
        </w:rPr>
      </w:pPr>
    </w:p>
    <w:p w14:paraId="61341D40" w14:textId="36C67897" w:rsidR="003D5D00" w:rsidRPr="00EB37A7" w:rsidRDefault="00D11536" w:rsidP="003D5D00">
      <w:pPr>
        <w:jc w:val="both"/>
        <w:rPr>
          <w:rFonts w:ascii="Comenia Serif" w:hAnsi="Comenia Serif"/>
          <w:b/>
          <w:color w:val="FF0000"/>
          <w:sz w:val="20"/>
          <w:szCs w:val="20"/>
        </w:rPr>
      </w:pPr>
      <w:r w:rsidRPr="00EB37A7">
        <w:rPr>
          <w:rFonts w:ascii="Comenia Serif" w:hAnsi="Comenia Serif"/>
          <w:b/>
          <w:sz w:val="20"/>
          <w:szCs w:val="20"/>
        </w:rPr>
        <w:t>Plán se podařilo naplnit, struktura</w:t>
      </w:r>
      <w:r w:rsidR="004557A2">
        <w:rPr>
          <w:rFonts w:ascii="Comenia Serif" w:hAnsi="Comenia Serif"/>
          <w:b/>
          <w:sz w:val="20"/>
          <w:szCs w:val="20"/>
        </w:rPr>
        <w:t xml:space="preserve"> časopiseckých</w:t>
      </w:r>
      <w:r w:rsidRPr="00EB37A7">
        <w:rPr>
          <w:rFonts w:ascii="Comenia Serif" w:hAnsi="Comenia Serif"/>
          <w:b/>
          <w:sz w:val="20"/>
          <w:szCs w:val="20"/>
        </w:rPr>
        <w:t xml:space="preserve"> výstupů byla změ</w:t>
      </w:r>
      <w:r>
        <w:rPr>
          <w:rFonts w:ascii="Comenia Serif" w:hAnsi="Comenia Serif"/>
          <w:b/>
          <w:sz w:val="20"/>
          <w:szCs w:val="20"/>
        </w:rPr>
        <w:t>ně</w:t>
      </w:r>
      <w:r w:rsidRPr="00EB37A7">
        <w:rPr>
          <w:rFonts w:ascii="Comenia Serif" w:hAnsi="Comenia Serif"/>
          <w:b/>
          <w:sz w:val="20"/>
          <w:szCs w:val="20"/>
        </w:rPr>
        <w:t>na ve prospěch kvalitnějších výstupů</w:t>
      </w:r>
      <w:r w:rsidR="005B33B1">
        <w:rPr>
          <w:rFonts w:ascii="Comenia Serif" w:hAnsi="Comenia Serif"/>
          <w:b/>
          <w:sz w:val="20"/>
          <w:szCs w:val="20"/>
        </w:rPr>
        <w:t xml:space="preserve"> (</w:t>
      </w:r>
      <w:proofErr w:type="spellStart"/>
      <w:r w:rsidR="005B33B1">
        <w:rPr>
          <w:rFonts w:ascii="Comenia Serif" w:hAnsi="Comenia Serif"/>
          <w:b/>
          <w:sz w:val="20"/>
          <w:szCs w:val="20"/>
        </w:rPr>
        <w:t>Jimp</w:t>
      </w:r>
      <w:proofErr w:type="spellEnd"/>
      <w:r w:rsidR="005B33B1">
        <w:rPr>
          <w:rFonts w:ascii="Comenia Serif" w:hAnsi="Comenia Serif"/>
          <w:b/>
          <w:sz w:val="20"/>
          <w:szCs w:val="20"/>
        </w:rPr>
        <w:t>)</w:t>
      </w:r>
      <w:r w:rsidR="007610BF">
        <w:rPr>
          <w:rFonts w:ascii="Comenia Serif" w:hAnsi="Comenia Serif"/>
          <w:b/>
          <w:sz w:val="20"/>
          <w:szCs w:val="20"/>
        </w:rPr>
        <w:t>.</w:t>
      </w:r>
      <w:r>
        <w:rPr>
          <w:rFonts w:ascii="Comenia Serif" w:hAnsi="Comenia Serif"/>
          <w:b/>
          <w:sz w:val="20"/>
          <w:szCs w:val="20"/>
        </w:rPr>
        <w:t xml:space="preserve"> </w:t>
      </w:r>
      <w:r w:rsidR="007610BF">
        <w:rPr>
          <w:rFonts w:ascii="Comenia Serif" w:hAnsi="Comenia Serif"/>
          <w:b/>
          <w:sz w:val="20"/>
          <w:szCs w:val="20"/>
        </w:rPr>
        <w:t>U</w:t>
      </w:r>
      <w:r>
        <w:rPr>
          <w:rFonts w:ascii="Comenia Serif" w:hAnsi="Comenia Serif"/>
          <w:b/>
          <w:sz w:val="20"/>
          <w:szCs w:val="20"/>
        </w:rPr>
        <w:t xml:space="preserve"> příspěvků typu D byl plán </w:t>
      </w:r>
      <w:r w:rsidR="00E43524">
        <w:rPr>
          <w:rFonts w:ascii="Comenia Serif" w:hAnsi="Comenia Serif"/>
          <w:b/>
          <w:sz w:val="20"/>
          <w:szCs w:val="20"/>
        </w:rPr>
        <w:t>nedodržen</w:t>
      </w:r>
      <w:r w:rsidR="00E364F6">
        <w:rPr>
          <w:rFonts w:ascii="Comenia Serif" w:hAnsi="Comenia Serif"/>
          <w:b/>
          <w:sz w:val="20"/>
          <w:szCs w:val="20"/>
        </w:rPr>
        <w:t>, a to</w:t>
      </w:r>
      <w:r w:rsidR="00E43524">
        <w:rPr>
          <w:rFonts w:ascii="Comenia Serif" w:hAnsi="Comenia Serif"/>
          <w:b/>
          <w:sz w:val="20"/>
          <w:szCs w:val="20"/>
        </w:rPr>
        <w:t xml:space="preserve"> z</w:t>
      </w:r>
      <w:r w:rsidR="00E43524">
        <w:rPr>
          <w:rFonts w:ascii="Calibri" w:hAnsi="Calibri" w:cs="Calibri"/>
          <w:b/>
          <w:sz w:val="20"/>
          <w:szCs w:val="20"/>
        </w:rPr>
        <w:t> </w:t>
      </w:r>
      <w:r w:rsidR="00E43524">
        <w:rPr>
          <w:rFonts w:ascii="Comenia Serif" w:hAnsi="Comenia Serif"/>
          <w:b/>
          <w:sz w:val="20"/>
          <w:szCs w:val="20"/>
        </w:rPr>
        <w:t xml:space="preserve">důvodu </w:t>
      </w:r>
      <w:r w:rsidR="00CA25DE">
        <w:rPr>
          <w:rFonts w:ascii="Comenia Serif" w:hAnsi="Comenia Serif"/>
          <w:b/>
          <w:sz w:val="20"/>
          <w:szCs w:val="20"/>
        </w:rPr>
        <w:t>změny strategi</w:t>
      </w:r>
      <w:r w:rsidR="008A44AD">
        <w:rPr>
          <w:rFonts w:ascii="Comenia Serif" w:hAnsi="Comenia Serif"/>
          <w:b/>
          <w:sz w:val="20"/>
          <w:szCs w:val="20"/>
        </w:rPr>
        <w:t xml:space="preserve">e publikování ve prospěch </w:t>
      </w:r>
      <w:proofErr w:type="spellStart"/>
      <w:r w:rsidR="008A44AD">
        <w:rPr>
          <w:rFonts w:ascii="Comenia Serif" w:hAnsi="Comenia Serif"/>
          <w:b/>
          <w:sz w:val="20"/>
          <w:szCs w:val="20"/>
        </w:rPr>
        <w:t>Jimp</w:t>
      </w:r>
      <w:proofErr w:type="spellEnd"/>
      <w:r>
        <w:rPr>
          <w:rFonts w:ascii="Comenia Serif" w:hAnsi="Comenia Serif"/>
          <w:b/>
          <w:sz w:val="20"/>
          <w:szCs w:val="20"/>
        </w:rPr>
        <w:t>.</w:t>
      </w:r>
      <w:r w:rsidRPr="00EB37A7">
        <w:rPr>
          <w:rFonts w:ascii="Comenia Serif" w:hAnsi="Comenia Serif"/>
          <w:b/>
          <w:sz w:val="20"/>
          <w:szCs w:val="20"/>
        </w:rPr>
        <w:t xml:space="preserve"> </w:t>
      </w:r>
      <w:r w:rsidR="00E7611D">
        <w:rPr>
          <w:rFonts w:ascii="Comenia Serif" w:hAnsi="Comenia Serif"/>
          <w:b/>
          <w:sz w:val="20"/>
          <w:szCs w:val="20"/>
        </w:rPr>
        <w:t>Struktura naplnění plánu FIM body v</w:t>
      </w:r>
      <w:r>
        <w:rPr>
          <w:rFonts w:ascii="Comenia Serif" w:hAnsi="Comenia Serif"/>
          <w:b/>
          <w:sz w:val="20"/>
          <w:szCs w:val="20"/>
        </w:rPr>
        <w:t xml:space="preserve">iz navazující </w:t>
      </w:r>
      <w:r w:rsidR="007B4C59">
        <w:rPr>
          <w:rFonts w:ascii="Comenia Serif" w:hAnsi="Comenia Serif"/>
          <w:b/>
          <w:sz w:val="20"/>
          <w:szCs w:val="20"/>
        </w:rPr>
        <w:t>T</w:t>
      </w:r>
      <w:r w:rsidRPr="00EB37A7">
        <w:rPr>
          <w:rFonts w:ascii="Comenia Serif" w:hAnsi="Comenia Serif"/>
          <w:b/>
          <w:sz w:val="20"/>
          <w:szCs w:val="20"/>
        </w:rPr>
        <w:t>abulka</w:t>
      </w:r>
      <w:r w:rsidR="00186B39">
        <w:rPr>
          <w:rFonts w:ascii="Calibri" w:hAnsi="Calibri" w:cs="Calibri"/>
          <w:b/>
          <w:sz w:val="20"/>
          <w:szCs w:val="20"/>
        </w:rPr>
        <w:t> </w:t>
      </w:r>
      <w:r w:rsidR="00186B39">
        <w:rPr>
          <w:rFonts w:ascii="Comenia Serif" w:hAnsi="Comenia Serif"/>
          <w:b/>
          <w:sz w:val="20"/>
          <w:szCs w:val="20"/>
        </w:rPr>
        <w:t>3</w:t>
      </w:r>
      <w:r w:rsidRPr="00EB37A7">
        <w:rPr>
          <w:rFonts w:ascii="Comenia Serif" w:hAnsi="Comenia Serif"/>
          <w:b/>
          <w:sz w:val="20"/>
          <w:szCs w:val="20"/>
        </w:rPr>
        <w:t>.</w:t>
      </w:r>
    </w:p>
    <w:p w14:paraId="0D37D74F" w14:textId="77777777" w:rsidR="00B20557" w:rsidRDefault="00B20557" w:rsidP="003D5D00">
      <w:pPr>
        <w:jc w:val="both"/>
        <w:rPr>
          <w:rFonts w:ascii="Comenia Serif" w:hAnsi="Comenia Serif"/>
          <w:sz w:val="20"/>
          <w:szCs w:val="20"/>
        </w:rPr>
      </w:pPr>
    </w:p>
    <w:p w14:paraId="2752FC1D" w14:textId="142B2608" w:rsidR="003D5D00" w:rsidRPr="00D11536" w:rsidRDefault="003D5D00" w:rsidP="003D5D00">
      <w:pPr>
        <w:jc w:val="both"/>
        <w:rPr>
          <w:rFonts w:ascii="Comenia Serif" w:hAnsi="Comenia Serif"/>
          <w:i/>
          <w:sz w:val="20"/>
          <w:szCs w:val="20"/>
        </w:rPr>
      </w:pPr>
      <w:r w:rsidRPr="00D11536">
        <w:rPr>
          <w:rFonts w:ascii="Comenia Serif" w:hAnsi="Comenia Serif"/>
          <w:i/>
          <w:sz w:val="20"/>
          <w:szCs w:val="20"/>
        </w:rPr>
        <w:t>Tabulka</w:t>
      </w:r>
      <w:r w:rsidR="007B4C59">
        <w:rPr>
          <w:rFonts w:ascii="Comenia Serif" w:hAnsi="Comenia Serif"/>
          <w:i/>
          <w:sz w:val="20"/>
          <w:szCs w:val="20"/>
        </w:rPr>
        <w:t xml:space="preserve"> 3</w:t>
      </w:r>
      <w:r w:rsidR="00D11536" w:rsidRPr="00D11536">
        <w:rPr>
          <w:rFonts w:ascii="Comenia Serif" w:hAnsi="Comenia Serif"/>
          <w:i/>
          <w:sz w:val="20"/>
          <w:szCs w:val="20"/>
        </w:rPr>
        <w:t>:</w:t>
      </w:r>
      <w:r w:rsidRPr="00D11536">
        <w:rPr>
          <w:rFonts w:ascii="Comenia Serif" w:hAnsi="Comenia Serif"/>
          <w:i/>
          <w:sz w:val="20"/>
          <w:szCs w:val="20"/>
        </w:rPr>
        <w:t xml:space="preserve"> Předpokládané ohodnocení </w:t>
      </w:r>
      <w:r w:rsidR="00111272" w:rsidRPr="00D11536">
        <w:rPr>
          <w:rFonts w:ascii="Comenia Serif" w:hAnsi="Comenia Serif"/>
          <w:i/>
          <w:sz w:val="20"/>
          <w:szCs w:val="20"/>
        </w:rPr>
        <w:t>FIM body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524"/>
        <w:gridCol w:w="1138"/>
      </w:tblGrid>
      <w:tr w:rsidR="00111272" w:rsidRPr="00EB37A7" w14:paraId="6444D4CB" w14:textId="77777777" w:rsidTr="007574BA">
        <w:trPr>
          <w:trHeight w:val="111"/>
        </w:trPr>
        <w:tc>
          <w:tcPr>
            <w:tcW w:w="5524" w:type="dxa"/>
          </w:tcPr>
          <w:p w14:paraId="359EBE00" w14:textId="1624A81D" w:rsidR="003D5D00" w:rsidRPr="00391A13" w:rsidRDefault="00B44C68" w:rsidP="001E296A">
            <w:pPr>
              <w:pStyle w:val="Default"/>
              <w:rPr>
                <w:rFonts w:ascii="Comenia Serif" w:hAnsi="Comenia Serif"/>
                <w:bCs/>
                <w:color w:val="auto"/>
                <w:sz w:val="20"/>
                <w:szCs w:val="20"/>
              </w:rPr>
            </w:pPr>
            <w:r>
              <w:rPr>
                <w:rFonts w:ascii="Comenia Serif" w:hAnsi="Comenia Serif"/>
                <w:bCs/>
                <w:color w:val="auto"/>
                <w:sz w:val="20"/>
                <w:szCs w:val="20"/>
              </w:rPr>
              <w:t>6</w:t>
            </w:r>
            <w:r w:rsidR="003D5D00" w:rsidRPr="00391A13">
              <w:rPr>
                <w:rFonts w:ascii="Comenia Serif" w:hAnsi="Comenia Serif"/>
                <w:bCs/>
                <w:color w:val="auto"/>
                <w:sz w:val="20"/>
                <w:szCs w:val="20"/>
              </w:rPr>
              <w:t xml:space="preserve"> </w:t>
            </w:r>
            <w:r w:rsidR="00DC1971" w:rsidRPr="00391A13">
              <w:rPr>
                <w:rFonts w:ascii="Comenia Serif" w:hAnsi="Comenia Serif"/>
                <w:bCs/>
                <w:color w:val="auto"/>
                <w:sz w:val="20"/>
                <w:szCs w:val="20"/>
              </w:rPr>
              <w:t>výstup</w:t>
            </w:r>
            <w:r w:rsidR="00C04400">
              <w:rPr>
                <w:rFonts w:ascii="Comenia Serif" w:hAnsi="Comenia Serif"/>
                <w:bCs/>
                <w:color w:val="auto"/>
                <w:sz w:val="20"/>
                <w:szCs w:val="20"/>
              </w:rPr>
              <w:t>ů</w:t>
            </w:r>
            <w:r w:rsidR="003D5D00" w:rsidRPr="00391A13">
              <w:rPr>
                <w:rFonts w:ascii="Comenia Serif" w:hAnsi="Comenia Serif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3D5D00" w:rsidRPr="00391A13">
              <w:rPr>
                <w:rFonts w:ascii="Comenia Serif" w:hAnsi="Comenia Serif"/>
                <w:bCs/>
                <w:color w:val="auto"/>
                <w:sz w:val="20"/>
                <w:szCs w:val="20"/>
              </w:rPr>
              <w:t>Jimp</w:t>
            </w:r>
            <w:proofErr w:type="spellEnd"/>
          </w:p>
        </w:tc>
        <w:tc>
          <w:tcPr>
            <w:tcW w:w="1138" w:type="dxa"/>
          </w:tcPr>
          <w:p w14:paraId="25EBDB32" w14:textId="16B6179A" w:rsidR="003D5D00" w:rsidRPr="00391A13" w:rsidRDefault="009047A5" w:rsidP="00CC45DC">
            <w:pPr>
              <w:pStyle w:val="Default"/>
              <w:jc w:val="center"/>
              <w:rPr>
                <w:rFonts w:ascii="Comenia Serif" w:hAnsi="Comenia Serif"/>
                <w:bCs/>
                <w:color w:val="auto"/>
                <w:sz w:val="20"/>
                <w:szCs w:val="20"/>
              </w:rPr>
            </w:pPr>
            <w:r>
              <w:rPr>
                <w:rFonts w:ascii="Comenia Serif" w:hAnsi="Comenia Serif"/>
                <w:bCs/>
                <w:color w:val="auto"/>
                <w:sz w:val="20"/>
                <w:szCs w:val="20"/>
              </w:rPr>
              <w:t>403</w:t>
            </w:r>
            <w:r w:rsidR="009A2978" w:rsidRPr="00391A13">
              <w:rPr>
                <w:rFonts w:ascii="Comenia Serif" w:hAnsi="Comenia Serif"/>
                <w:bCs/>
                <w:color w:val="auto"/>
                <w:sz w:val="20"/>
                <w:szCs w:val="20"/>
              </w:rPr>
              <w:t>,</w:t>
            </w:r>
            <w:r w:rsidR="0072631D">
              <w:rPr>
                <w:rFonts w:ascii="Comenia Serif" w:hAnsi="Comenia Serif"/>
                <w:bCs/>
                <w:color w:val="auto"/>
                <w:sz w:val="20"/>
                <w:szCs w:val="20"/>
              </w:rPr>
              <w:t>1</w:t>
            </w:r>
            <w:r>
              <w:rPr>
                <w:rFonts w:ascii="Comenia Serif" w:hAnsi="Comenia Serif"/>
                <w:bCs/>
                <w:color w:val="auto"/>
                <w:sz w:val="20"/>
                <w:szCs w:val="20"/>
              </w:rPr>
              <w:t>0</w:t>
            </w:r>
          </w:p>
        </w:tc>
      </w:tr>
      <w:tr w:rsidR="00111272" w:rsidRPr="00EB37A7" w14:paraId="70616558" w14:textId="77777777" w:rsidTr="001E296A">
        <w:tc>
          <w:tcPr>
            <w:tcW w:w="5524" w:type="dxa"/>
          </w:tcPr>
          <w:p w14:paraId="3FA46276" w14:textId="70AD08C1" w:rsidR="003D5D00" w:rsidRPr="00391A13" w:rsidRDefault="00C37D55" w:rsidP="001E296A">
            <w:pPr>
              <w:pStyle w:val="Default"/>
              <w:rPr>
                <w:rFonts w:ascii="Comenia Serif" w:hAnsi="Comenia Serif"/>
                <w:bCs/>
                <w:color w:val="auto"/>
                <w:sz w:val="20"/>
                <w:szCs w:val="20"/>
              </w:rPr>
            </w:pPr>
            <w:r>
              <w:rPr>
                <w:rFonts w:ascii="Comenia Serif" w:hAnsi="Comenia Serif"/>
                <w:bCs/>
                <w:color w:val="auto"/>
                <w:sz w:val="20"/>
                <w:szCs w:val="20"/>
              </w:rPr>
              <w:t>4</w:t>
            </w:r>
            <w:r w:rsidR="00111272" w:rsidRPr="00391A13">
              <w:rPr>
                <w:rFonts w:ascii="Comenia Serif" w:hAnsi="Comenia Serif"/>
                <w:bCs/>
                <w:color w:val="auto"/>
                <w:sz w:val="20"/>
                <w:szCs w:val="20"/>
              </w:rPr>
              <w:t xml:space="preserve"> výstupy ESCI</w:t>
            </w:r>
            <w:r w:rsidR="00CC45DC" w:rsidRPr="00391A13">
              <w:rPr>
                <w:rFonts w:ascii="Comenia Serif" w:hAnsi="Comenia Serif"/>
                <w:bCs/>
                <w:color w:val="auto"/>
                <w:sz w:val="20"/>
                <w:szCs w:val="20"/>
              </w:rPr>
              <w:t xml:space="preserve"> </w:t>
            </w:r>
            <w:r w:rsidR="00BC5160">
              <w:rPr>
                <w:rFonts w:ascii="Comenia Serif" w:hAnsi="Comenia Serif"/>
                <w:bCs/>
                <w:color w:val="auto"/>
                <w:sz w:val="20"/>
                <w:szCs w:val="20"/>
              </w:rPr>
              <w:t>nebo</w:t>
            </w:r>
            <w:r w:rsidR="00CC45DC" w:rsidRPr="00391A13">
              <w:rPr>
                <w:rFonts w:ascii="Comenia Serif" w:hAnsi="Comenia Serif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CC45DC" w:rsidRPr="00391A13">
              <w:rPr>
                <w:rFonts w:ascii="Comenia Serif" w:hAnsi="Comenia Serif"/>
                <w:bCs/>
                <w:color w:val="auto"/>
                <w:sz w:val="20"/>
                <w:szCs w:val="20"/>
              </w:rPr>
              <w:t>Jsc</w:t>
            </w:r>
            <w:proofErr w:type="spellEnd"/>
          </w:p>
        </w:tc>
        <w:tc>
          <w:tcPr>
            <w:tcW w:w="1138" w:type="dxa"/>
          </w:tcPr>
          <w:p w14:paraId="2062263B" w14:textId="592A01E2" w:rsidR="003D5D00" w:rsidRPr="00391A13" w:rsidRDefault="0072631D" w:rsidP="00CC45DC">
            <w:pPr>
              <w:pStyle w:val="Default"/>
              <w:jc w:val="center"/>
              <w:rPr>
                <w:rFonts w:ascii="Comenia Serif" w:hAnsi="Comenia Serif"/>
                <w:bCs/>
                <w:color w:val="auto"/>
                <w:sz w:val="20"/>
                <w:szCs w:val="20"/>
              </w:rPr>
            </w:pPr>
            <w:r>
              <w:rPr>
                <w:rFonts w:ascii="Comenia Serif" w:hAnsi="Comenia Serif"/>
                <w:bCs/>
                <w:color w:val="auto"/>
                <w:sz w:val="20"/>
                <w:szCs w:val="20"/>
              </w:rPr>
              <w:t>135</w:t>
            </w:r>
            <w:r w:rsidR="005632EB">
              <w:rPr>
                <w:rFonts w:ascii="Comenia Serif" w:hAnsi="Comenia Serif"/>
                <w:bCs/>
                <w:color w:val="auto"/>
                <w:sz w:val="20"/>
                <w:szCs w:val="20"/>
              </w:rPr>
              <w:t>,00</w:t>
            </w:r>
          </w:p>
        </w:tc>
      </w:tr>
      <w:tr w:rsidR="00111272" w:rsidRPr="00EB37A7" w14:paraId="6A168082" w14:textId="77777777" w:rsidTr="001E296A">
        <w:tc>
          <w:tcPr>
            <w:tcW w:w="5524" w:type="dxa"/>
          </w:tcPr>
          <w:p w14:paraId="407F4B2D" w14:textId="28FB4C78" w:rsidR="003D5D00" w:rsidRPr="00B86642" w:rsidRDefault="00002B79" w:rsidP="00F038DF">
            <w:pPr>
              <w:pStyle w:val="Default"/>
              <w:rPr>
                <w:rFonts w:ascii="Comenia Serif" w:hAnsi="Comenia Serif"/>
                <w:bCs/>
                <w:color w:val="auto"/>
                <w:sz w:val="20"/>
                <w:szCs w:val="20"/>
              </w:rPr>
            </w:pPr>
            <w:r>
              <w:rPr>
                <w:rFonts w:ascii="Comenia Serif" w:hAnsi="Comenia Serif"/>
                <w:bCs/>
                <w:color w:val="auto"/>
                <w:sz w:val="20"/>
                <w:szCs w:val="20"/>
              </w:rPr>
              <w:t>0</w:t>
            </w:r>
            <w:r w:rsidR="00C37D55">
              <w:rPr>
                <w:rFonts w:ascii="Comenia Serif" w:hAnsi="Comenia Serif"/>
                <w:bCs/>
                <w:color w:val="auto"/>
                <w:sz w:val="20"/>
                <w:szCs w:val="20"/>
              </w:rPr>
              <w:t xml:space="preserve"> D</w:t>
            </w:r>
            <w:r w:rsidR="003D5D00" w:rsidRPr="00B86642">
              <w:rPr>
                <w:rFonts w:ascii="Comenia Serif" w:hAnsi="Comenia Serif"/>
                <w:bCs/>
                <w:color w:val="auto"/>
                <w:sz w:val="20"/>
                <w:szCs w:val="20"/>
              </w:rPr>
              <w:t xml:space="preserve"> s </w:t>
            </w:r>
            <w:r w:rsidR="003D5D00" w:rsidRPr="00B86642">
              <w:rPr>
                <w:rFonts w:ascii="Comenia Serif" w:hAnsi="Comenia Serif"/>
                <w:color w:val="auto"/>
                <w:sz w:val="20"/>
                <w:szCs w:val="20"/>
              </w:rPr>
              <w:t>indexování</w:t>
            </w:r>
            <w:r w:rsidR="00D722B0" w:rsidRPr="00B86642">
              <w:rPr>
                <w:rFonts w:ascii="Comenia Serif" w:hAnsi="Comenia Serif"/>
                <w:color w:val="auto"/>
                <w:sz w:val="20"/>
                <w:szCs w:val="20"/>
              </w:rPr>
              <w:t>m</w:t>
            </w:r>
            <w:r w:rsidR="003D5D00" w:rsidRPr="00B86642">
              <w:rPr>
                <w:rFonts w:ascii="Comenia Serif" w:hAnsi="Comenia Serif"/>
                <w:color w:val="auto"/>
                <w:sz w:val="20"/>
                <w:szCs w:val="20"/>
              </w:rPr>
              <w:t xml:space="preserve"> ve </w:t>
            </w:r>
            <w:proofErr w:type="spellStart"/>
            <w:r w:rsidR="003D5D00" w:rsidRPr="00B86642">
              <w:rPr>
                <w:rFonts w:ascii="Comenia Serif" w:hAnsi="Comenia Serif"/>
                <w:color w:val="auto"/>
                <w:sz w:val="20"/>
                <w:szCs w:val="20"/>
              </w:rPr>
              <w:t>Wo</w:t>
            </w:r>
            <w:r w:rsidR="005C5173" w:rsidRPr="00B86642">
              <w:rPr>
                <w:rFonts w:ascii="Comenia Serif" w:hAnsi="Comenia Serif"/>
                <w:color w:val="auto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1138" w:type="dxa"/>
          </w:tcPr>
          <w:p w14:paraId="6E73C341" w14:textId="58F31CF2" w:rsidR="003D5D00" w:rsidRPr="00B86642" w:rsidRDefault="00002B79" w:rsidP="00CC45DC">
            <w:pPr>
              <w:pStyle w:val="Default"/>
              <w:jc w:val="center"/>
              <w:rPr>
                <w:rFonts w:ascii="Comenia Serif" w:hAnsi="Comenia Serif"/>
                <w:bCs/>
                <w:color w:val="auto"/>
                <w:sz w:val="20"/>
                <w:szCs w:val="20"/>
              </w:rPr>
            </w:pPr>
            <w:r>
              <w:rPr>
                <w:rFonts w:ascii="Comenia Serif" w:hAnsi="Comenia Serif"/>
                <w:bCs/>
                <w:color w:val="auto"/>
                <w:sz w:val="20"/>
                <w:szCs w:val="20"/>
              </w:rPr>
              <w:t>0</w:t>
            </w:r>
            <w:r w:rsidR="00C04400">
              <w:rPr>
                <w:rFonts w:ascii="Comenia Serif" w:hAnsi="Comenia Serif"/>
                <w:bCs/>
                <w:color w:val="auto"/>
                <w:sz w:val="20"/>
                <w:szCs w:val="20"/>
              </w:rPr>
              <w:t>,00</w:t>
            </w:r>
          </w:p>
        </w:tc>
      </w:tr>
      <w:tr w:rsidR="00111272" w:rsidRPr="00EB37A7" w14:paraId="15AF70A9" w14:textId="77777777" w:rsidTr="001E296A">
        <w:tc>
          <w:tcPr>
            <w:tcW w:w="5524" w:type="dxa"/>
          </w:tcPr>
          <w:p w14:paraId="40F99872" w14:textId="66A32D02" w:rsidR="00111272" w:rsidRPr="00F038DF" w:rsidRDefault="00111272" w:rsidP="00111272">
            <w:pPr>
              <w:pStyle w:val="Default"/>
              <w:rPr>
                <w:rFonts w:ascii="Comenia Serif" w:hAnsi="Comenia Serif"/>
                <w:bCs/>
                <w:color w:val="auto"/>
                <w:sz w:val="20"/>
                <w:szCs w:val="20"/>
              </w:rPr>
            </w:pPr>
            <w:r w:rsidRPr="00F038DF">
              <w:rPr>
                <w:rFonts w:ascii="Comenia Serif" w:hAnsi="Comenia Serif"/>
                <w:bCs/>
                <w:color w:val="auto"/>
                <w:sz w:val="20"/>
                <w:szCs w:val="20"/>
              </w:rPr>
              <w:t>Celkem</w:t>
            </w:r>
          </w:p>
        </w:tc>
        <w:tc>
          <w:tcPr>
            <w:tcW w:w="1138" w:type="dxa"/>
          </w:tcPr>
          <w:p w14:paraId="425A1A4A" w14:textId="0F0C7F4C" w:rsidR="00111272" w:rsidRPr="00F038DF" w:rsidRDefault="009047A5" w:rsidP="00CC45DC">
            <w:pPr>
              <w:pStyle w:val="Default"/>
              <w:jc w:val="center"/>
              <w:rPr>
                <w:rFonts w:ascii="Comenia Serif" w:hAnsi="Comenia Serif"/>
                <w:bCs/>
                <w:color w:val="auto"/>
                <w:sz w:val="20"/>
                <w:szCs w:val="20"/>
              </w:rPr>
            </w:pPr>
            <w:r>
              <w:rPr>
                <w:rFonts w:ascii="Comenia Serif" w:hAnsi="Comenia Serif"/>
                <w:bCs/>
                <w:color w:val="auto"/>
                <w:sz w:val="20"/>
                <w:szCs w:val="20"/>
              </w:rPr>
              <w:t>538</w:t>
            </w:r>
            <w:r w:rsidR="005632EB">
              <w:rPr>
                <w:rFonts w:ascii="Comenia Serif" w:hAnsi="Comenia Serif"/>
                <w:bCs/>
                <w:color w:val="auto"/>
                <w:sz w:val="20"/>
                <w:szCs w:val="20"/>
              </w:rPr>
              <w:t>,</w:t>
            </w:r>
            <w:r w:rsidR="0072631D">
              <w:rPr>
                <w:rFonts w:ascii="Comenia Serif" w:hAnsi="Comenia Serif"/>
                <w:bCs/>
                <w:color w:val="auto"/>
                <w:sz w:val="20"/>
                <w:szCs w:val="20"/>
              </w:rPr>
              <w:t>1</w:t>
            </w:r>
            <w:r>
              <w:rPr>
                <w:rFonts w:ascii="Comenia Serif" w:hAnsi="Comenia Serif"/>
                <w:bCs/>
                <w:color w:val="auto"/>
                <w:sz w:val="20"/>
                <w:szCs w:val="20"/>
              </w:rPr>
              <w:t>0</w:t>
            </w:r>
          </w:p>
        </w:tc>
      </w:tr>
    </w:tbl>
    <w:p w14:paraId="77A4D231" w14:textId="24599799" w:rsidR="003F77C2" w:rsidRDefault="003F77C2" w:rsidP="00B14981">
      <w:pPr>
        <w:pStyle w:val="Default"/>
        <w:rPr>
          <w:sz w:val="20"/>
          <w:szCs w:val="20"/>
        </w:rPr>
      </w:pPr>
    </w:p>
    <w:p w14:paraId="65DA6481" w14:textId="0A2CF8A7" w:rsidR="00214F94" w:rsidRPr="009A4E33" w:rsidRDefault="00214F94" w:rsidP="00214F94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sz w:val="20"/>
          <w:szCs w:val="20"/>
        </w:rPr>
        <w:t>Výsledky publikační činnosti v</w:t>
      </w:r>
      <w:r w:rsidRPr="009A4E33">
        <w:rPr>
          <w:b/>
          <w:sz w:val="20"/>
          <w:szCs w:val="20"/>
        </w:rPr>
        <w:t> </w:t>
      </w:r>
      <w:r w:rsidRPr="009A4E33">
        <w:rPr>
          <w:rFonts w:ascii="Comenia Serif" w:hAnsi="Comenia Serif"/>
          <w:b/>
          <w:sz w:val="20"/>
          <w:szCs w:val="20"/>
        </w:rPr>
        <w:t>OBD</w:t>
      </w:r>
    </w:p>
    <w:p w14:paraId="48EBDA7B" w14:textId="144B8854" w:rsidR="00C04400" w:rsidRPr="00D607F9" w:rsidRDefault="00214F94" w:rsidP="00D607F9">
      <w:pPr>
        <w:pStyle w:val="Default"/>
        <w:numPr>
          <w:ilvl w:val="0"/>
          <w:numId w:val="1"/>
        </w:numPr>
        <w:jc w:val="both"/>
        <w:rPr>
          <w:rFonts w:ascii="Comenia Serif" w:hAnsi="Comenia Serif"/>
          <w:color w:val="auto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s uvedením počtu výsledků, které budou předkládány jako výsledky </w:t>
      </w:r>
      <w:r w:rsidRPr="00B20557">
        <w:rPr>
          <w:rFonts w:ascii="Comenia Serif" w:hAnsi="Comenia Serif"/>
          <w:color w:val="auto"/>
          <w:sz w:val="20"/>
          <w:szCs w:val="20"/>
        </w:rPr>
        <w:t>studentských projektů do</w:t>
      </w:r>
      <w:r w:rsidR="00592624">
        <w:rPr>
          <w:rFonts w:ascii="Calibri" w:hAnsi="Calibri" w:cs="Calibri"/>
          <w:color w:val="auto"/>
          <w:sz w:val="20"/>
          <w:szCs w:val="20"/>
        </w:rPr>
        <w:t> </w:t>
      </w:r>
      <w:proofErr w:type="spellStart"/>
      <w:r w:rsidRPr="00B20557">
        <w:rPr>
          <w:rFonts w:ascii="Comenia Serif" w:hAnsi="Comenia Serif"/>
          <w:color w:val="auto"/>
          <w:sz w:val="20"/>
          <w:szCs w:val="20"/>
        </w:rPr>
        <w:t>RIVu</w:t>
      </w:r>
      <w:proofErr w:type="spellEnd"/>
      <w:r w:rsidRPr="00B20557">
        <w:rPr>
          <w:rFonts w:ascii="Comenia Serif" w:hAnsi="Comenia Serif"/>
          <w:color w:val="auto"/>
          <w:sz w:val="20"/>
          <w:szCs w:val="20"/>
        </w:rPr>
        <w:t xml:space="preserve"> (N01 Typ zdroje financování výsledku S = s</w:t>
      </w:r>
      <w:r w:rsidR="006B4E93" w:rsidRPr="00B20557">
        <w:rPr>
          <w:rFonts w:ascii="Comenia Serif" w:hAnsi="Comenia Serif"/>
          <w:color w:val="auto"/>
          <w:sz w:val="20"/>
          <w:szCs w:val="20"/>
        </w:rPr>
        <w:t>pecifický vysokoškolský výzkum):</w:t>
      </w:r>
      <w:r w:rsidR="00631E63">
        <w:rPr>
          <w:rFonts w:ascii="Comenia Serif" w:hAnsi="Comenia Serif"/>
          <w:color w:val="auto"/>
          <w:sz w:val="20"/>
          <w:szCs w:val="20"/>
        </w:rPr>
        <w:t xml:space="preserve"> </w:t>
      </w:r>
      <w:r w:rsidR="00B44C68">
        <w:rPr>
          <w:rFonts w:ascii="Comenia Serif" w:hAnsi="Comenia Serif"/>
          <w:color w:val="auto"/>
          <w:sz w:val="20"/>
          <w:szCs w:val="20"/>
        </w:rPr>
        <w:t>10</w:t>
      </w:r>
      <w:r w:rsidR="005C70C8" w:rsidRPr="00D607F9">
        <w:rPr>
          <w:rFonts w:ascii="Comenia Serif" w:hAnsi="Comenia Serif"/>
          <w:color w:val="auto"/>
          <w:sz w:val="20"/>
          <w:szCs w:val="20"/>
        </w:rPr>
        <w:t>;</w:t>
      </w:r>
    </w:p>
    <w:p w14:paraId="1106B661" w14:textId="588332FF" w:rsidR="00214F94" w:rsidRPr="00B20557" w:rsidRDefault="00214F94" w:rsidP="00214F94">
      <w:pPr>
        <w:pStyle w:val="Default"/>
        <w:numPr>
          <w:ilvl w:val="0"/>
          <w:numId w:val="1"/>
        </w:numPr>
        <w:jc w:val="both"/>
        <w:rPr>
          <w:rFonts w:ascii="Comenia Serif" w:hAnsi="Comenia Serif"/>
          <w:color w:val="auto"/>
          <w:sz w:val="20"/>
          <w:szCs w:val="20"/>
        </w:rPr>
      </w:pPr>
      <w:r w:rsidRPr="00B20557">
        <w:rPr>
          <w:rFonts w:ascii="Comenia Serif" w:hAnsi="Comenia Serif"/>
          <w:color w:val="auto"/>
          <w:sz w:val="20"/>
          <w:szCs w:val="20"/>
        </w:rPr>
        <w:t xml:space="preserve">s uvedením počtu </w:t>
      </w:r>
      <w:r w:rsidR="007011BE" w:rsidRPr="00B20557">
        <w:rPr>
          <w:rFonts w:ascii="Comenia Serif" w:hAnsi="Comenia Serif"/>
          <w:color w:val="auto"/>
          <w:sz w:val="20"/>
          <w:szCs w:val="20"/>
        </w:rPr>
        <w:t>di</w:t>
      </w:r>
      <w:r w:rsidR="007011BE">
        <w:rPr>
          <w:rFonts w:ascii="Comenia Serif" w:hAnsi="Comenia Serif"/>
          <w:color w:val="auto"/>
          <w:sz w:val="20"/>
          <w:szCs w:val="20"/>
        </w:rPr>
        <w:t>sertačních</w:t>
      </w:r>
      <w:r w:rsidRPr="00B20557">
        <w:rPr>
          <w:rFonts w:ascii="Comenia Serif" w:hAnsi="Comenia Serif"/>
          <w:color w:val="auto"/>
          <w:sz w:val="20"/>
          <w:szCs w:val="20"/>
        </w:rPr>
        <w:t xml:space="preserve"> prací, které vznikly s podporou prostředků na </w:t>
      </w:r>
      <w:r w:rsidR="006B4E93" w:rsidRPr="00B20557">
        <w:rPr>
          <w:rFonts w:ascii="Comenia Serif" w:hAnsi="Comenia Serif"/>
          <w:color w:val="auto"/>
          <w:sz w:val="20"/>
          <w:szCs w:val="20"/>
        </w:rPr>
        <w:t xml:space="preserve">specifický vysokoškolský výzkum: </w:t>
      </w:r>
      <w:r w:rsidR="00075237">
        <w:rPr>
          <w:rFonts w:ascii="Comenia Serif" w:hAnsi="Comenia Serif"/>
          <w:sz w:val="20"/>
          <w:szCs w:val="20"/>
        </w:rPr>
        <w:t>----</w:t>
      </w:r>
      <w:r w:rsidR="005C70C8">
        <w:rPr>
          <w:rFonts w:ascii="Comenia Serif" w:hAnsi="Comenia Serif"/>
          <w:sz w:val="20"/>
          <w:szCs w:val="20"/>
        </w:rPr>
        <w:t>;</w:t>
      </w:r>
    </w:p>
    <w:p w14:paraId="498F62BB" w14:textId="3C483648" w:rsidR="00214F94" w:rsidRPr="009A4E33" w:rsidRDefault="00214F94" w:rsidP="00214F94">
      <w:pPr>
        <w:pStyle w:val="Default"/>
        <w:numPr>
          <w:ilvl w:val="0"/>
          <w:numId w:val="1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další příklady excelence dosažené s podporou prostředků na specifický vysokoškols</w:t>
      </w:r>
      <w:r w:rsidR="0087255C">
        <w:rPr>
          <w:rFonts w:ascii="Comenia Serif" w:hAnsi="Comenia Serif"/>
          <w:sz w:val="20"/>
          <w:szCs w:val="20"/>
        </w:rPr>
        <w:t>ký výzkum (např. oceněné práce): ----</w:t>
      </w:r>
      <w:r w:rsidR="005C70C8">
        <w:rPr>
          <w:rFonts w:ascii="Comenia Serif" w:hAnsi="Comenia Serif"/>
          <w:sz w:val="20"/>
          <w:szCs w:val="20"/>
        </w:rPr>
        <w:t>.</w:t>
      </w:r>
    </w:p>
    <w:p w14:paraId="1CCB8251" w14:textId="189F3E4A" w:rsidR="00214F94" w:rsidRDefault="00214F94" w:rsidP="00214F94">
      <w:pPr>
        <w:pStyle w:val="Default"/>
        <w:ind w:left="360"/>
        <w:jc w:val="both"/>
        <w:rPr>
          <w:rFonts w:ascii="Comenia Serif" w:hAnsi="Comenia Serif"/>
          <w:sz w:val="20"/>
          <w:szCs w:val="20"/>
        </w:rPr>
      </w:pPr>
    </w:p>
    <w:p w14:paraId="30254EA3" w14:textId="77777777" w:rsidR="001E66A9" w:rsidRPr="009A4E33" w:rsidRDefault="001E66A9" w:rsidP="00214F94">
      <w:pPr>
        <w:pStyle w:val="Default"/>
        <w:ind w:left="360"/>
        <w:jc w:val="both"/>
        <w:rPr>
          <w:rFonts w:ascii="Comenia Serif" w:hAnsi="Comenia Serif"/>
          <w:sz w:val="20"/>
          <w:szCs w:val="20"/>
        </w:rPr>
      </w:pPr>
    </w:p>
    <w:p w14:paraId="7E937EDE" w14:textId="2C48321D" w:rsidR="00214F94" w:rsidRPr="0095133B" w:rsidRDefault="009F071C" w:rsidP="00214F94">
      <w:pPr>
        <w:pStyle w:val="Default"/>
        <w:rPr>
          <w:rFonts w:ascii="Comenia Serif" w:hAnsi="Comenia Serif"/>
          <w:b/>
          <w:bCs/>
          <w:sz w:val="20"/>
          <w:szCs w:val="20"/>
        </w:rPr>
      </w:pPr>
      <w:r>
        <w:rPr>
          <w:rFonts w:ascii="Comenia Serif" w:hAnsi="Comenia Serif"/>
          <w:b/>
          <w:bCs/>
          <w:sz w:val="20"/>
          <w:szCs w:val="20"/>
        </w:rPr>
        <w:t>K</w:t>
      </w:r>
      <w:r w:rsidR="007C0C42">
        <w:rPr>
          <w:rFonts w:ascii="Calibri" w:hAnsi="Calibri" w:cs="Calibri"/>
          <w:b/>
          <w:bCs/>
          <w:sz w:val="20"/>
          <w:szCs w:val="20"/>
        </w:rPr>
        <w:t> </w:t>
      </w:r>
      <w:r w:rsidR="007C0C42">
        <w:rPr>
          <w:rFonts w:ascii="Comenia Serif" w:hAnsi="Comenia Serif"/>
          <w:b/>
          <w:bCs/>
          <w:sz w:val="20"/>
          <w:szCs w:val="20"/>
        </w:rPr>
        <w:t>závěrečné zprávě</w:t>
      </w:r>
      <w:r>
        <w:rPr>
          <w:rFonts w:ascii="Comenia Serif" w:hAnsi="Comenia Serif"/>
          <w:b/>
          <w:bCs/>
          <w:sz w:val="20"/>
          <w:szCs w:val="20"/>
        </w:rPr>
        <w:t xml:space="preserve"> </w:t>
      </w:r>
      <w:r w:rsidR="00183365">
        <w:rPr>
          <w:rFonts w:ascii="Comenia Serif" w:hAnsi="Comenia Serif"/>
          <w:b/>
          <w:bCs/>
          <w:sz w:val="20"/>
          <w:szCs w:val="20"/>
        </w:rPr>
        <w:t>bylo</w:t>
      </w:r>
      <w:r w:rsidR="00214F94" w:rsidRPr="009A4E33">
        <w:rPr>
          <w:rFonts w:ascii="Comenia Serif" w:hAnsi="Comenia Serif"/>
          <w:b/>
          <w:bCs/>
          <w:sz w:val="20"/>
          <w:szCs w:val="20"/>
        </w:rPr>
        <w:t xml:space="preserve"> přiloženo: </w:t>
      </w:r>
    </w:p>
    <w:p w14:paraId="7B770394" w14:textId="7B8F8802" w:rsidR="00214F94" w:rsidRDefault="00214F94" w:rsidP="003A4D4D">
      <w:pPr>
        <w:pStyle w:val="Default"/>
        <w:numPr>
          <w:ilvl w:val="0"/>
          <w:numId w:val="16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Výpis z OBD – výsledky publikační činnosti podpořené projektem.</w:t>
      </w:r>
    </w:p>
    <w:p w14:paraId="1FD14B90" w14:textId="7CD33E47" w:rsidR="00214F94" w:rsidRPr="009A4E33" w:rsidRDefault="00214F94" w:rsidP="003A4D4D">
      <w:pPr>
        <w:pStyle w:val="Default"/>
        <w:numPr>
          <w:ilvl w:val="0"/>
          <w:numId w:val="16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„Výsledovka“ z ekonomického informačního systému </w:t>
      </w:r>
      <w:proofErr w:type="spellStart"/>
      <w:r w:rsidRPr="009A4E33">
        <w:rPr>
          <w:rFonts w:ascii="Comenia Serif" w:hAnsi="Comenia Serif"/>
          <w:sz w:val="20"/>
          <w:szCs w:val="20"/>
        </w:rPr>
        <w:t>Magion</w:t>
      </w:r>
      <w:proofErr w:type="spellEnd"/>
      <w:r w:rsidRPr="009A4E33">
        <w:rPr>
          <w:rFonts w:ascii="Comenia Serif" w:hAnsi="Comenia Serif"/>
          <w:sz w:val="20"/>
          <w:szCs w:val="20"/>
        </w:rPr>
        <w:t xml:space="preserve"> – vyúčtování dotace.</w:t>
      </w:r>
    </w:p>
    <w:p w14:paraId="1376180A" w14:textId="3484FCA5" w:rsidR="00BF6915" w:rsidRDefault="00BF6915" w:rsidP="00214F94">
      <w:pPr>
        <w:pStyle w:val="Default"/>
        <w:rPr>
          <w:rFonts w:ascii="Comenia Serif" w:hAnsi="Comenia Serif"/>
          <w:sz w:val="20"/>
          <w:szCs w:val="20"/>
        </w:rPr>
      </w:pPr>
    </w:p>
    <w:p w14:paraId="77CEC95D" w14:textId="77777777" w:rsidR="00327D21" w:rsidRPr="00DC7D18" w:rsidRDefault="00327D21" w:rsidP="00327D21">
      <w:pPr>
        <w:pStyle w:val="Default"/>
        <w:rPr>
          <w:rFonts w:ascii="Comenia Serif" w:hAnsi="Comenia Serif"/>
          <w:color w:val="auto"/>
          <w:sz w:val="20"/>
          <w:szCs w:val="20"/>
        </w:rPr>
      </w:pPr>
      <w:r w:rsidRPr="00DC7D18">
        <w:rPr>
          <w:rFonts w:ascii="Comenia Serif" w:hAnsi="Comenia Serif"/>
          <w:b/>
          <w:color w:val="auto"/>
          <w:sz w:val="20"/>
          <w:szCs w:val="20"/>
        </w:rPr>
        <w:t>Nové výsledky (skutečnosti) projektu od doby odevzdání výroční zprávy:</w:t>
      </w:r>
    </w:p>
    <w:p w14:paraId="530FEB05" w14:textId="1E3DFE2D" w:rsidR="00327D21" w:rsidRPr="00DC7D18" w:rsidRDefault="00327D21" w:rsidP="00D607F9">
      <w:pPr>
        <w:pStyle w:val="Default"/>
        <w:jc w:val="both"/>
        <w:rPr>
          <w:rFonts w:ascii="Comenia Serif" w:hAnsi="Comenia Serif"/>
          <w:color w:val="auto"/>
          <w:sz w:val="20"/>
          <w:szCs w:val="20"/>
        </w:rPr>
      </w:pPr>
      <w:r w:rsidRPr="00DC7D18">
        <w:rPr>
          <w:rFonts w:ascii="Comenia Serif" w:hAnsi="Comenia Serif"/>
          <w:color w:val="auto"/>
          <w:sz w:val="20"/>
          <w:szCs w:val="20"/>
        </w:rPr>
        <w:t xml:space="preserve">Mezi odevzdáním výroční a závěrečné zprávy </w:t>
      </w:r>
      <w:r>
        <w:rPr>
          <w:rFonts w:ascii="Comenia Serif" w:hAnsi="Comenia Serif"/>
          <w:color w:val="auto"/>
          <w:sz w:val="20"/>
          <w:szCs w:val="20"/>
        </w:rPr>
        <w:t>byl upraven jeden</w:t>
      </w:r>
      <w:r w:rsidR="00D607F9">
        <w:rPr>
          <w:rFonts w:ascii="Comenia Serif" w:hAnsi="Comenia Serif"/>
          <w:color w:val="auto"/>
          <w:sz w:val="20"/>
          <w:szCs w:val="20"/>
        </w:rPr>
        <w:t xml:space="preserve"> výstup</w:t>
      </w:r>
      <w:r w:rsidRPr="00DC7D18">
        <w:rPr>
          <w:rFonts w:ascii="Comenia Serif" w:hAnsi="Comenia Serif"/>
          <w:color w:val="auto"/>
          <w:sz w:val="20"/>
          <w:szCs w:val="20"/>
        </w:rPr>
        <w:t xml:space="preserve"> v</w:t>
      </w:r>
      <w:r w:rsidRPr="00DC7D18">
        <w:rPr>
          <w:rFonts w:ascii="Calibri" w:hAnsi="Calibri" w:cs="Calibri"/>
          <w:color w:val="auto"/>
          <w:sz w:val="20"/>
          <w:szCs w:val="20"/>
        </w:rPr>
        <w:t> </w:t>
      </w:r>
      <w:r w:rsidRPr="00DC7D18">
        <w:rPr>
          <w:rFonts w:ascii="Comenia Serif" w:hAnsi="Comenia Serif"/>
          <w:color w:val="auto"/>
          <w:sz w:val="20"/>
          <w:szCs w:val="20"/>
        </w:rPr>
        <w:t>datab</w:t>
      </w:r>
      <w:r w:rsidRPr="00DC7D18">
        <w:rPr>
          <w:rFonts w:ascii="Comenia Serif" w:hAnsi="Comenia Serif" w:cs="Comenia Serif"/>
          <w:color w:val="auto"/>
          <w:sz w:val="20"/>
          <w:szCs w:val="20"/>
        </w:rPr>
        <w:t>á</w:t>
      </w:r>
      <w:r w:rsidRPr="00DC7D18">
        <w:rPr>
          <w:rFonts w:ascii="Comenia Serif" w:hAnsi="Comenia Serif"/>
          <w:color w:val="auto"/>
          <w:sz w:val="20"/>
          <w:szCs w:val="20"/>
        </w:rPr>
        <w:t>zi OBD (</w:t>
      </w:r>
      <w:r w:rsidR="00D607F9">
        <w:rPr>
          <w:rFonts w:ascii="Comenia Serif" w:hAnsi="Comenia Serif"/>
          <w:color w:val="auto"/>
          <w:sz w:val="20"/>
          <w:szCs w:val="20"/>
        </w:rPr>
        <w:t>u jednoho výstupu je o</w:t>
      </w:r>
      <w:r w:rsidR="00D607F9" w:rsidRPr="006A2171">
        <w:rPr>
          <w:rFonts w:ascii="Comenia Serif" w:hAnsi="Comenia Serif"/>
          <w:color w:val="auto"/>
          <w:sz w:val="20"/>
          <w:szCs w:val="20"/>
        </w:rPr>
        <w:t>proti výroční zprávě</w:t>
      </w:r>
      <w:r w:rsidR="00D607F9">
        <w:rPr>
          <w:rFonts w:ascii="Comenia Serif" w:hAnsi="Comenia Serif"/>
          <w:color w:val="auto"/>
          <w:sz w:val="20"/>
          <w:szCs w:val="20"/>
        </w:rPr>
        <w:t xml:space="preserve"> pozměněn název; změna názvu vyplynula z</w:t>
      </w:r>
      <w:r w:rsidR="00D607F9">
        <w:rPr>
          <w:rFonts w:ascii="Calibri" w:hAnsi="Calibri" w:cs="Calibri"/>
          <w:color w:val="auto"/>
          <w:sz w:val="20"/>
          <w:szCs w:val="20"/>
        </w:rPr>
        <w:t> </w:t>
      </w:r>
      <w:r w:rsidR="00D607F9">
        <w:rPr>
          <w:rFonts w:ascii="Comenia Serif" w:hAnsi="Comenia Serif"/>
          <w:color w:val="auto"/>
          <w:sz w:val="20"/>
          <w:szCs w:val="20"/>
        </w:rPr>
        <w:t>doporučení recenzí po</w:t>
      </w:r>
      <w:r w:rsidR="00D607F9">
        <w:rPr>
          <w:rFonts w:ascii="Calibri" w:hAnsi="Calibri" w:cs="Calibri"/>
          <w:color w:val="auto"/>
          <w:sz w:val="20"/>
          <w:szCs w:val="20"/>
        </w:rPr>
        <w:t> </w:t>
      </w:r>
      <w:r w:rsidR="00D607F9">
        <w:rPr>
          <w:rFonts w:ascii="Comenia Serif" w:hAnsi="Comenia Serif"/>
          <w:color w:val="auto"/>
          <w:sz w:val="20"/>
          <w:szCs w:val="20"/>
        </w:rPr>
        <w:t>přijetí článku k</w:t>
      </w:r>
      <w:r w:rsidR="00D607F9">
        <w:rPr>
          <w:rFonts w:ascii="Calibri" w:hAnsi="Calibri" w:cs="Calibri"/>
          <w:color w:val="auto"/>
          <w:sz w:val="20"/>
          <w:szCs w:val="20"/>
        </w:rPr>
        <w:t> </w:t>
      </w:r>
      <w:r w:rsidR="00D607F9">
        <w:rPr>
          <w:rFonts w:ascii="Comenia Serif" w:hAnsi="Comenia Serif"/>
          <w:color w:val="auto"/>
          <w:sz w:val="20"/>
          <w:szCs w:val="20"/>
        </w:rPr>
        <w:t>otištění; všechny články jsou zadány v</w:t>
      </w:r>
      <w:r w:rsidR="00D607F9">
        <w:rPr>
          <w:rFonts w:ascii="Calibri" w:hAnsi="Calibri" w:cs="Calibri"/>
          <w:color w:val="auto"/>
          <w:sz w:val="20"/>
          <w:szCs w:val="20"/>
        </w:rPr>
        <w:t> </w:t>
      </w:r>
      <w:r w:rsidR="00D607F9">
        <w:rPr>
          <w:rFonts w:ascii="Comenia Serif" w:hAnsi="Comenia Serif"/>
          <w:color w:val="auto"/>
          <w:sz w:val="20"/>
          <w:szCs w:val="20"/>
        </w:rPr>
        <w:t>OBD; viz aktualizovaná příloha</w:t>
      </w:r>
      <w:r w:rsidR="00D607F9">
        <w:rPr>
          <w:rFonts w:ascii="Calibri" w:hAnsi="Calibri" w:cs="Calibri"/>
          <w:color w:val="auto"/>
          <w:sz w:val="20"/>
          <w:szCs w:val="20"/>
        </w:rPr>
        <w:t> </w:t>
      </w:r>
      <w:r w:rsidR="00D607F9">
        <w:rPr>
          <w:rFonts w:ascii="Comenia Serif" w:hAnsi="Comenia Serif"/>
          <w:color w:val="auto"/>
          <w:sz w:val="20"/>
          <w:szCs w:val="20"/>
        </w:rPr>
        <w:t>1</w:t>
      </w:r>
      <w:r w:rsidRPr="00DC7D18">
        <w:rPr>
          <w:rFonts w:ascii="Comenia Serif" w:hAnsi="Comenia Serif"/>
          <w:color w:val="auto"/>
          <w:sz w:val="20"/>
          <w:szCs w:val="20"/>
        </w:rPr>
        <w:t>); jinak nebyly zaznamen</w:t>
      </w:r>
      <w:r w:rsidRPr="00DC7D18">
        <w:rPr>
          <w:rFonts w:ascii="Comenia Serif" w:hAnsi="Comenia Serif" w:cs="Comenia Serif"/>
          <w:color w:val="auto"/>
          <w:sz w:val="20"/>
          <w:szCs w:val="20"/>
        </w:rPr>
        <w:t>á</w:t>
      </w:r>
      <w:r w:rsidRPr="00DC7D18">
        <w:rPr>
          <w:rFonts w:ascii="Comenia Serif" w:hAnsi="Comenia Serif"/>
          <w:color w:val="auto"/>
          <w:sz w:val="20"/>
          <w:szCs w:val="20"/>
        </w:rPr>
        <w:t xml:space="preserve">ny </w:t>
      </w:r>
      <w:r w:rsidRPr="00DC7D18">
        <w:rPr>
          <w:rFonts w:ascii="Comenia Serif" w:hAnsi="Comenia Serif" w:cs="Comenia Serif"/>
          <w:color w:val="auto"/>
          <w:sz w:val="20"/>
          <w:szCs w:val="20"/>
        </w:rPr>
        <w:t>žá</w:t>
      </w:r>
      <w:r w:rsidRPr="00DC7D18">
        <w:rPr>
          <w:rFonts w:ascii="Comenia Serif" w:hAnsi="Comenia Serif"/>
          <w:color w:val="auto"/>
          <w:sz w:val="20"/>
          <w:szCs w:val="20"/>
        </w:rPr>
        <w:t>dn</w:t>
      </w:r>
      <w:r w:rsidRPr="00DC7D18">
        <w:rPr>
          <w:rFonts w:ascii="Comenia Serif" w:hAnsi="Comenia Serif" w:cs="Comenia Serif"/>
          <w:color w:val="auto"/>
          <w:sz w:val="20"/>
          <w:szCs w:val="20"/>
        </w:rPr>
        <w:t>é</w:t>
      </w:r>
      <w:r w:rsidRPr="00DC7D18">
        <w:rPr>
          <w:rFonts w:ascii="Comenia Serif" w:hAnsi="Comenia Serif"/>
          <w:color w:val="auto"/>
          <w:sz w:val="20"/>
          <w:szCs w:val="20"/>
        </w:rPr>
        <w:t xml:space="preserve"> nov</w:t>
      </w:r>
      <w:r w:rsidRPr="00DC7D18">
        <w:rPr>
          <w:rFonts w:ascii="Comenia Serif" w:hAnsi="Comenia Serif" w:cs="Comenia Serif"/>
          <w:color w:val="auto"/>
          <w:sz w:val="20"/>
          <w:szCs w:val="20"/>
        </w:rPr>
        <w:t>é</w:t>
      </w:r>
      <w:r w:rsidRPr="00DC7D18">
        <w:rPr>
          <w:rFonts w:ascii="Comenia Serif" w:hAnsi="Comenia Serif"/>
          <w:color w:val="auto"/>
          <w:sz w:val="20"/>
          <w:szCs w:val="20"/>
        </w:rPr>
        <w:t xml:space="preserve"> v</w:t>
      </w:r>
      <w:r w:rsidRPr="00DC7D18">
        <w:rPr>
          <w:rFonts w:ascii="Comenia Serif" w:hAnsi="Comenia Serif" w:cs="Comenia Serif"/>
          <w:color w:val="auto"/>
          <w:sz w:val="20"/>
          <w:szCs w:val="20"/>
        </w:rPr>
        <w:t>ý</w:t>
      </w:r>
      <w:r w:rsidRPr="00DC7D18">
        <w:rPr>
          <w:rFonts w:ascii="Comenia Serif" w:hAnsi="Comenia Serif"/>
          <w:color w:val="auto"/>
          <w:sz w:val="20"/>
          <w:szCs w:val="20"/>
        </w:rPr>
        <w:t xml:space="preserve">sledky </w:t>
      </w:r>
      <w:r w:rsidRPr="00DC7D18">
        <w:rPr>
          <w:rFonts w:ascii="Comenia Serif" w:hAnsi="Comenia Serif" w:cs="Comenia Serif"/>
          <w:color w:val="auto"/>
          <w:sz w:val="20"/>
          <w:szCs w:val="20"/>
        </w:rPr>
        <w:t>č</w:t>
      </w:r>
      <w:r w:rsidRPr="00DC7D18">
        <w:rPr>
          <w:rFonts w:ascii="Comenia Serif" w:hAnsi="Comenia Serif"/>
          <w:color w:val="auto"/>
          <w:sz w:val="20"/>
          <w:szCs w:val="20"/>
        </w:rPr>
        <w:t>i skute</w:t>
      </w:r>
      <w:r w:rsidRPr="00DC7D18">
        <w:rPr>
          <w:rFonts w:ascii="Comenia Serif" w:hAnsi="Comenia Serif" w:cs="Comenia Serif"/>
          <w:color w:val="auto"/>
          <w:sz w:val="20"/>
          <w:szCs w:val="20"/>
        </w:rPr>
        <w:t>č</w:t>
      </w:r>
      <w:r w:rsidRPr="00DC7D18">
        <w:rPr>
          <w:rFonts w:ascii="Comenia Serif" w:hAnsi="Comenia Serif"/>
          <w:color w:val="auto"/>
          <w:sz w:val="20"/>
          <w:szCs w:val="20"/>
        </w:rPr>
        <w:t>nosti.</w:t>
      </w:r>
    </w:p>
    <w:p w14:paraId="6CDD0494" w14:textId="22468E12" w:rsidR="00BF6915" w:rsidRDefault="00BF6915" w:rsidP="00214F94">
      <w:pPr>
        <w:pStyle w:val="Default"/>
        <w:rPr>
          <w:rFonts w:ascii="Comenia Serif" w:hAnsi="Comenia Serif"/>
          <w:sz w:val="20"/>
          <w:szCs w:val="20"/>
        </w:rPr>
      </w:pPr>
    </w:p>
    <w:p w14:paraId="689CB19E" w14:textId="358F57C9" w:rsidR="00AD496C" w:rsidRPr="0076301E" w:rsidRDefault="00AD496C" w:rsidP="00AD496C">
      <w:pPr>
        <w:pStyle w:val="Default"/>
        <w:rPr>
          <w:rFonts w:ascii="Comenia Serif" w:hAnsi="Comenia Serif"/>
          <w:sz w:val="20"/>
          <w:szCs w:val="20"/>
        </w:rPr>
      </w:pPr>
      <w:r w:rsidRPr="0076301E">
        <w:rPr>
          <w:rFonts w:ascii="Comenia Serif" w:hAnsi="Comenia Serif"/>
          <w:b/>
          <w:bCs/>
          <w:sz w:val="20"/>
          <w:szCs w:val="20"/>
        </w:rPr>
        <w:t>Datum ukončení projektu:</w:t>
      </w:r>
      <w:r w:rsidRPr="0076301E">
        <w:rPr>
          <w:rFonts w:ascii="Comenia Serif" w:hAnsi="Comenia Serif"/>
          <w:sz w:val="20"/>
          <w:szCs w:val="20"/>
        </w:rPr>
        <w:t xml:space="preserve"> 25. 10. 202</w:t>
      </w:r>
      <w:r>
        <w:rPr>
          <w:rFonts w:ascii="Comenia Serif" w:hAnsi="Comenia Serif"/>
          <w:sz w:val="20"/>
          <w:szCs w:val="20"/>
        </w:rPr>
        <w:t>5</w:t>
      </w:r>
    </w:p>
    <w:p w14:paraId="504902AB" w14:textId="4A3A5E66" w:rsidR="00BF6915" w:rsidRDefault="00BF6915" w:rsidP="00214F94">
      <w:pPr>
        <w:pStyle w:val="Default"/>
        <w:rPr>
          <w:rFonts w:ascii="Comenia Serif" w:hAnsi="Comenia Serif"/>
          <w:sz w:val="20"/>
          <w:szCs w:val="20"/>
        </w:rPr>
      </w:pPr>
    </w:p>
    <w:p w14:paraId="3C44540F" w14:textId="77777777" w:rsidR="001E66A9" w:rsidRPr="009A4E33" w:rsidRDefault="001E66A9" w:rsidP="00214F94">
      <w:pPr>
        <w:pStyle w:val="Default"/>
        <w:rPr>
          <w:rFonts w:ascii="Comenia Serif" w:hAnsi="Comenia Serif"/>
          <w:sz w:val="20"/>
          <w:szCs w:val="20"/>
        </w:rPr>
      </w:pPr>
    </w:p>
    <w:p w14:paraId="188B362D" w14:textId="4B8CC8D1" w:rsidR="00BB44CF" w:rsidRPr="00E61B74" w:rsidRDefault="00214F94" w:rsidP="00E61B74">
      <w:pPr>
        <w:pStyle w:val="Default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V</w:t>
      </w:r>
      <w:r w:rsidRPr="009A4E33">
        <w:rPr>
          <w:sz w:val="20"/>
          <w:szCs w:val="20"/>
        </w:rPr>
        <w:t> </w:t>
      </w:r>
      <w:r w:rsidRPr="009A4E33">
        <w:rPr>
          <w:rFonts w:ascii="Comenia Serif" w:hAnsi="Comenia Serif"/>
          <w:sz w:val="20"/>
          <w:szCs w:val="20"/>
        </w:rPr>
        <w:t>Hradci Králové, dne</w:t>
      </w:r>
      <w:r w:rsidRPr="009A4E33">
        <w:rPr>
          <w:rFonts w:ascii="Comenia Serif" w:hAnsi="Comenia Serif"/>
          <w:sz w:val="20"/>
          <w:szCs w:val="20"/>
        </w:rPr>
        <w:tab/>
      </w:r>
      <w:r w:rsidR="00D47E95">
        <w:rPr>
          <w:rFonts w:ascii="Comenia Serif" w:hAnsi="Comenia Serif"/>
          <w:sz w:val="20"/>
          <w:szCs w:val="20"/>
        </w:rPr>
        <w:t>31</w:t>
      </w:r>
      <w:r w:rsidR="00160C55">
        <w:rPr>
          <w:rFonts w:ascii="Comenia Serif" w:hAnsi="Comenia Serif"/>
          <w:sz w:val="20"/>
          <w:szCs w:val="20"/>
        </w:rPr>
        <w:t>.1</w:t>
      </w:r>
      <w:r w:rsidR="00D47E95">
        <w:rPr>
          <w:rFonts w:ascii="Comenia Serif" w:hAnsi="Comenia Serif"/>
          <w:sz w:val="20"/>
          <w:szCs w:val="20"/>
        </w:rPr>
        <w:t>0</w:t>
      </w:r>
      <w:r w:rsidR="007011BE">
        <w:rPr>
          <w:rFonts w:ascii="Comenia Serif" w:hAnsi="Comenia Serif"/>
          <w:sz w:val="20"/>
          <w:szCs w:val="20"/>
        </w:rPr>
        <w:t>. 202</w:t>
      </w:r>
      <w:r w:rsidR="001540B4">
        <w:rPr>
          <w:rFonts w:ascii="Comenia Serif" w:hAnsi="Comenia Serif"/>
          <w:sz w:val="20"/>
          <w:szCs w:val="20"/>
        </w:rPr>
        <w:t>5</w:t>
      </w:r>
      <w:r w:rsidRPr="009A4E33">
        <w:rPr>
          <w:rFonts w:ascii="Comenia Serif" w:hAnsi="Comenia Serif"/>
          <w:sz w:val="20"/>
          <w:szCs w:val="20"/>
        </w:rPr>
        <w:tab/>
      </w:r>
      <w:r w:rsidRPr="009A4E33">
        <w:rPr>
          <w:rFonts w:ascii="Comenia Serif" w:hAnsi="Comenia Serif"/>
          <w:sz w:val="20"/>
          <w:szCs w:val="20"/>
        </w:rPr>
        <w:tab/>
      </w:r>
      <w:r w:rsidRPr="009A4E33">
        <w:rPr>
          <w:rFonts w:ascii="Comenia Serif" w:hAnsi="Comenia Serif"/>
          <w:sz w:val="20"/>
          <w:szCs w:val="20"/>
        </w:rPr>
        <w:tab/>
      </w:r>
      <w:r w:rsidRPr="009A4E33">
        <w:rPr>
          <w:rFonts w:ascii="Comenia Serif" w:hAnsi="Comenia Serif"/>
          <w:sz w:val="20"/>
          <w:szCs w:val="20"/>
        </w:rPr>
        <w:tab/>
      </w:r>
      <w:r w:rsidRPr="009A4E33">
        <w:rPr>
          <w:rFonts w:ascii="Comenia Serif" w:hAnsi="Comenia Serif"/>
          <w:sz w:val="20"/>
          <w:szCs w:val="20"/>
        </w:rPr>
        <w:tab/>
        <w:t>Podpis odpovědného řešitele</w:t>
      </w:r>
    </w:p>
    <w:sectPr w:rsidR="00BB44CF" w:rsidRPr="00E61B74" w:rsidSect="00DD2B46">
      <w:headerReference w:type="first" r:id="rId8"/>
      <w:footerReference w:type="first" r:id="rId9"/>
      <w:pgSz w:w="11900" w:h="16840"/>
      <w:pgMar w:top="1418" w:right="1418" w:bottom="1134" w:left="1418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DA745" w14:textId="77777777" w:rsidR="00A304C8" w:rsidRDefault="00A304C8">
      <w:r>
        <w:separator/>
      </w:r>
    </w:p>
  </w:endnote>
  <w:endnote w:type="continuationSeparator" w:id="0">
    <w:p w14:paraId="6D5C8565" w14:textId="77777777" w:rsidR="00A304C8" w:rsidRDefault="00A3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enia Serif">
    <w:altName w:val="Corbel"/>
    <w:panose1 w:val="02000503000000020004"/>
    <w:charset w:val="00"/>
    <w:family w:val="modern"/>
    <w:notTrueType/>
    <w:pitch w:val="variable"/>
    <w:sig w:usb0="A00000AF" w:usb1="5000207B" w:usb2="00000004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9AAED" w14:textId="77777777" w:rsidR="00BB44CF" w:rsidRDefault="00860BE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D110E" wp14:editId="26741E47">
              <wp:simplePos x="0" y="0"/>
              <wp:positionH relativeFrom="page">
                <wp:posOffset>1232535</wp:posOffset>
              </wp:positionH>
              <wp:positionV relativeFrom="page">
                <wp:posOffset>9810750</wp:posOffset>
              </wp:positionV>
              <wp:extent cx="5400040" cy="360045"/>
              <wp:effectExtent l="3810" t="0" r="0" b="1905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BA5B9D" w14:textId="77777777" w:rsidR="00BB44CF" w:rsidRPr="008E033C" w:rsidRDefault="00BB44CF" w:rsidP="000F095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AD110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97.05pt;margin-top:772.5pt;width:425.2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" filled="f" stroked="f">
              <v:textbox inset="0,0,0,0">
                <w:txbxContent>
                  <w:p w14:paraId="4FBA5B9D" w14:textId="77777777" w:rsidR="00BB44CF" w:rsidRPr="008E033C" w:rsidRDefault="00BB44CF" w:rsidP="000F0950"/>
                </w:txbxContent>
              </v:textbox>
              <w10:wrap type="tight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E6A28" w14:textId="77777777" w:rsidR="00A304C8" w:rsidRDefault="00A304C8">
      <w:r>
        <w:separator/>
      </w:r>
    </w:p>
  </w:footnote>
  <w:footnote w:type="continuationSeparator" w:id="0">
    <w:p w14:paraId="15D6F619" w14:textId="77777777" w:rsidR="00A304C8" w:rsidRDefault="00A30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C3856" w14:textId="77777777" w:rsidR="00BB44CF" w:rsidRDefault="00860BE8">
    <w:pPr>
      <w:pStyle w:val="Zhlav"/>
    </w:pPr>
    <w:r w:rsidRPr="000F0950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831D2B6" wp14:editId="7A6D42EA">
          <wp:simplePos x="0" y="0"/>
          <wp:positionH relativeFrom="page">
            <wp:posOffset>514350</wp:posOffset>
          </wp:positionH>
          <wp:positionV relativeFrom="page">
            <wp:posOffset>457200</wp:posOffset>
          </wp:positionV>
          <wp:extent cx="2946400" cy="609600"/>
          <wp:effectExtent l="19050" t="0" r="6350" b="0"/>
          <wp:wrapNone/>
          <wp:docPr id="1" name="obrázek 9" descr="UHK_FIM_logo_10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UHK_FIM_logo_100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640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01EFD"/>
    <w:multiLevelType w:val="hybridMultilevel"/>
    <w:tmpl w:val="784A2C44"/>
    <w:lvl w:ilvl="0" w:tplc="006EC03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AD53678"/>
    <w:multiLevelType w:val="hybridMultilevel"/>
    <w:tmpl w:val="D682E6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84D82"/>
    <w:multiLevelType w:val="hybridMultilevel"/>
    <w:tmpl w:val="6BECC0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97DFC"/>
    <w:multiLevelType w:val="hybridMultilevel"/>
    <w:tmpl w:val="A8C8A43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2D1586"/>
    <w:multiLevelType w:val="hybridMultilevel"/>
    <w:tmpl w:val="2BB079D2"/>
    <w:lvl w:ilvl="0" w:tplc="AF2EFDC6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 w15:restartNumberingAfterBreak="0">
    <w:nsid w:val="37FB6329"/>
    <w:multiLevelType w:val="hybridMultilevel"/>
    <w:tmpl w:val="CDD26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454088"/>
    <w:multiLevelType w:val="hybridMultilevel"/>
    <w:tmpl w:val="D2AA44B2"/>
    <w:lvl w:ilvl="0" w:tplc="F1DE574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 w15:restartNumberingAfterBreak="0">
    <w:nsid w:val="4560420C"/>
    <w:multiLevelType w:val="hybridMultilevel"/>
    <w:tmpl w:val="D89EB592"/>
    <w:lvl w:ilvl="0" w:tplc="CAF6D674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 w15:restartNumberingAfterBreak="0">
    <w:nsid w:val="49D118F0"/>
    <w:multiLevelType w:val="hybridMultilevel"/>
    <w:tmpl w:val="DF602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D357B"/>
    <w:multiLevelType w:val="hybridMultilevel"/>
    <w:tmpl w:val="C69CF8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6910AA"/>
    <w:multiLevelType w:val="hybridMultilevel"/>
    <w:tmpl w:val="DEF05A1A"/>
    <w:lvl w:ilvl="0" w:tplc="20AE2E78">
      <w:numFmt w:val="bullet"/>
      <w:lvlText w:val="•"/>
      <w:lvlJc w:val="left"/>
      <w:pPr>
        <w:ind w:left="720" w:hanging="360"/>
      </w:pPr>
      <w:rPr>
        <w:rFonts w:ascii="Comenia Serif" w:eastAsia="Cambria" w:hAnsi="Comenia Serif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D943EC"/>
    <w:multiLevelType w:val="hybridMultilevel"/>
    <w:tmpl w:val="10BA2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1623F4"/>
    <w:multiLevelType w:val="hybridMultilevel"/>
    <w:tmpl w:val="028E5F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A14089"/>
    <w:multiLevelType w:val="hybridMultilevel"/>
    <w:tmpl w:val="EDE867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280F65"/>
    <w:multiLevelType w:val="hybridMultilevel"/>
    <w:tmpl w:val="1CB81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160B73"/>
    <w:multiLevelType w:val="hybridMultilevel"/>
    <w:tmpl w:val="0B365946"/>
    <w:lvl w:ilvl="0" w:tplc="CA303E64">
      <w:start w:val="5"/>
      <w:numFmt w:val="bullet"/>
      <w:lvlText w:val="-"/>
      <w:lvlJc w:val="left"/>
      <w:pPr>
        <w:ind w:left="720" w:hanging="360"/>
      </w:pPr>
      <w:rPr>
        <w:rFonts w:ascii="Comenia Serif" w:eastAsia="Cambria" w:hAnsi="Comenia Serif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824ED"/>
    <w:multiLevelType w:val="hybridMultilevel"/>
    <w:tmpl w:val="9A2E5D32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num w:numId="1" w16cid:durableId="1197278214">
    <w:abstractNumId w:val="3"/>
  </w:num>
  <w:num w:numId="2" w16cid:durableId="1361012235">
    <w:abstractNumId w:val="16"/>
  </w:num>
  <w:num w:numId="3" w16cid:durableId="2070685051">
    <w:abstractNumId w:val="0"/>
  </w:num>
  <w:num w:numId="4" w16cid:durableId="655454585">
    <w:abstractNumId w:val="6"/>
  </w:num>
  <w:num w:numId="5" w16cid:durableId="965965107">
    <w:abstractNumId w:val="4"/>
  </w:num>
  <w:num w:numId="6" w16cid:durableId="1354451962">
    <w:abstractNumId w:val="7"/>
  </w:num>
  <w:num w:numId="7" w16cid:durableId="1011034030">
    <w:abstractNumId w:val="5"/>
  </w:num>
  <w:num w:numId="8" w16cid:durableId="575406857">
    <w:abstractNumId w:val="14"/>
  </w:num>
  <w:num w:numId="9" w16cid:durableId="2147119222">
    <w:abstractNumId w:val="11"/>
  </w:num>
  <w:num w:numId="10" w16cid:durableId="1212234143">
    <w:abstractNumId w:val="10"/>
  </w:num>
  <w:num w:numId="11" w16cid:durableId="69623173">
    <w:abstractNumId w:val="2"/>
  </w:num>
  <w:num w:numId="12" w16cid:durableId="1039012247">
    <w:abstractNumId w:val="12"/>
  </w:num>
  <w:num w:numId="13" w16cid:durableId="1190140437">
    <w:abstractNumId w:val="1"/>
  </w:num>
  <w:num w:numId="14" w16cid:durableId="567150081">
    <w:abstractNumId w:val="13"/>
  </w:num>
  <w:num w:numId="15" w16cid:durableId="279997235">
    <w:abstractNumId w:val="9"/>
  </w:num>
  <w:num w:numId="16" w16cid:durableId="937103088">
    <w:abstractNumId w:val="8"/>
  </w:num>
  <w:num w:numId="17" w16cid:durableId="208883848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F94"/>
    <w:rsid w:val="00002B79"/>
    <w:rsid w:val="000046C8"/>
    <w:rsid w:val="000077F3"/>
    <w:rsid w:val="00010080"/>
    <w:rsid w:val="00014D5D"/>
    <w:rsid w:val="000219B6"/>
    <w:rsid w:val="00026D1D"/>
    <w:rsid w:val="000325E4"/>
    <w:rsid w:val="0003286A"/>
    <w:rsid w:val="00034642"/>
    <w:rsid w:val="00036F8E"/>
    <w:rsid w:val="00042223"/>
    <w:rsid w:val="00043005"/>
    <w:rsid w:val="00043E38"/>
    <w:rsid w:val="000479C3"/>
    <w:rsid w:val="00055A68"/>
    <w:rsid w:val="00060CDD"/>
    <w:rsid w:val="000714CB"/>
    <w:rsid w:val="00075237"/>
    <w:rsid w:val="000809F7"/>
    <w:rsid w:val="0009011B"/>
    <w:rsid w:val="00096134"/>
    <w:rsid w:val="00097069"/>
    <w:rsid w:val="000B2581"/>
    <w:rsid w:val="000B2AF7"/>
    <w:rsid w:val="000B6632"/>
    <w:rsid w:val="000C0209"/>
    <w:rsid w:val="000D30F0"/>
    <w:rsid w:val="000D5763"/>
    <w:rsid w:val="000D6579"/>
    <w:rsid w:val="000D6835"/>
    <w:rsid w:val="000E3A7D"/>
    <w:rsid w:val="000E5BE3"/>
    <w:rsid w:val="000E744B"/>
    <w:rsid w:val="000F0B3D"/>
    <w:rsid w:val="000F2051"/>
    <w:rsid w:val="000F2FF2"/>
    <w:rsid w:val="000F66B6"/>
    <w:rsid w:val="0010184A"/>
    <w:rsid w:val="00110432"/>
    <w:rsid w:val="00111272"/>
    <w:rsid w:val="0011382B"/>
    <w:rsid w:val="00131A02"/>
    <w:rsid w:val="001400AF"/>
    <w:rsid w:val="00140D86"/>
    <w:rsid w:val="001435B5"/>
    <w:rsid w:val="001474F6"/>
    <w:rsid w:val="00150331"/>
    <w:rsid w:val="00153BCF"/>
    <w:rsid w:val="001540B4"/>
    <w:rsid w:val="00156BB7"/>
    <w:rsid w:val="00160C55"/>
    <w:rsid w:val="00162C62"/>
    <w:rsid w:val="00162D68"/>
    <w:rsid w:val="00164F30"/>
    <w:rsid w:val="00167DD0"/>
    <w:rsid w:val="00173E40"/>
    <w:rsid w:val="0018178A"/>
    <w:rsid w:val="0018300E"/>
    <w:rsid w:val="00183365"/>
    <w:rsid w:val="00183D09"/>
    <w:rsid w:val="00184F42"/>
    <w:rsid w:val="0018519F"/>
    <w:rsid w:val="00186223"/>
    <w:rsid w:val="00186B39"/>
    <w:rsid w:val="001919A6"/>
    <w:rsid w:val="001A1801"/>
    <w:rsid w:val="001A18AD"/>
    <w:rsid w:val="001A47D3"/>
    <w:rsid w:val="001A4A72"/>
    <w:rsid w:val="001A5140"/>
    <w:rsid w:val="001A5F92"/>
    <w:rsid w:val="001B18A7"/>
    <w:rsid w:val="001C3E99"/>
    <w:rsid w:val="001C47A4"/>
    <w:rsid w:val="001C7C89"/>
    <w:rsid w:val="001D2AFA"/>
    <w:rsid w:val="001D3B6F"/>
    <w:rsid w:val="001D46D4"/>
    <w:rsid w:val="001D4E20"/>
    <w:rsid w:val="001E4E8E"/>
    <w:rsid w:val="001E66A9"/>
    <w:rsid w:val="001F0D77"/>
    <w:rsid w:val="001F1EBA"/>
    <w:rsid w:val="001F430E"/>
    <w:rsid w:val="002016D8"/>
    <w:rsid w:val="00206D6F"/>
    <w:rsid w:val="00211F1E"/>
    <w:rsid w:val="002143AB"/>
    <w:rsid w:val="00214F94"/>
    <w:rsid w:val="00220A72"/>
    <w:rsid w:val="0022375A"/>
    <w:rsid w:val="00223C49"/>
    <w:rsid w:val="0023094B"/>
    <w:rsid w:val="00231028"/>
    <w:rsid w:val="002377BF"/>
    <w:rsid w:val="00241D3A"/>
    <w:rsid w:val="002420DC"/>
    <w:rsid w:val="002430BE"/>
    <w:rsid w:val="00247F75"/>
    <w:rsid w:val="002511E1"/>
    <w:rsid w:val="00261D0A"/>
    <w:rsid w:val="002669BF"/>
    <w:rsid w:val="002716CA"/>
    <w:rsid w:val="0027498C"/>
    <w:rsid w:val="00276E07"/>
    <w:rsid w:val="0028417C"/>
    <w:rsid w:val="00293074"/>
    <w:rsid w:val="00293150"/>
    <w:rsid w:val="00296BF9"/>
    <w:rsid w:val="002A2AFD"/>
    <w:rsid w:val="002A2B86"/>
    <w:rsid w:val="002A3633"/>
    <w:rsid w:val="002B2E11"/>
    <w:rsid w:val="002B7C96"/>
    <w:rsid w:val="002C101F"/>
    <w:rsid w:val="002C3FDD"/>
    <w:rsid w:val="002D02A8"/>
    <w:rsid w:val="002D37DF"/>
    <w:rsid w:val="002D4550"/>
    <w:rsid w:val="002D488D"/>
    <w:rsid w:val="002D6171"/>
    <w:rsid w:val="002E425D"/>
    <w:rsid w:val="002F3D92"/>
    <w:rsid w:val="003006CE"/>
    <w:rsid w:val="0030490C"/>
    <w:rsid w:val="00310836"/>
    <w:rsid w:val="00312A9F"/>
    <w:rsid w:val="00314A64"/>
    <w:rsid w:val="003235D8"/>
    <w:rsid w:val="003257AC"/>
    <w:rsid w:val="0032789F"/>
    <w:rsid w:val="00327D21"/>
    <w:rsid w:val="003326C7"/>
    <w:rsid w:val="00343F43"/>
    <w:rsid w:val="00345D10"/>
    <w:rsid w:val="00346C51"/>
    <w:rsid w:val="00347871"/>
    <w:rsid w:val="00351FF3"/>
    <w:rsid w:val="00356761"/>
    <w:rsid w:val="003572C9"/>
    <w:rsid w:val="00365D42"/>
    <w:rsid w:val="003725AE"/>
    <w:rsid w:val="003729BA"/>
    <w:rsid w:val="00380EB0"/>
    <w:rsid w:val="0038304B"/>
    <w:rsid w:val="00387BAB"/>
    <w:rsid w:val="003910A9"/>
    <w:rsid w:val="00391A13"/>
    <w:rsid w:val="003933CE"/>
    <w:rsid w:val="00396C63"/>
    <w:rsid w:val="003A0E23"/>
    <w:rsid w:val="003A2850"/>
    <w:rsid w:val="003A4D4D"/>
    <w:rsid w:val="003A71AD"/>
    <w:rsid w:val="003B185D"/>
    <w:rsid w:val="003C11B9"/>
    <w:rsid w:val="003C2599"/>
    <w:rsid w:val="003C5A17"/>
    <w:rsid w:val="003C6EE3"/>
    <w:rsid w:val="003C723F"/>
    <w:rsid w:val="003D0D21"/>
    <w:rsid w:val="003D1D17"/>
    <w:rsid w:val="003D293A"/>
    <w:rsid w:val="003D5B43"/>
    <w:rsid w:val="003D5D00"/>
    <w:rsid w:val="003D680F"/>
    <w:rsid w:val="003D7F82"/>
    <w:rsid w:val="003F1DA4"/>
    <w:rsid w:val="003F3CAF"/>
    <w:rsid w:val="003F77C2"/>
    <w:rsid w:val="003F7AD9"/>
    <w:rsid w:val="00405C8C"/>
    <w:rsid w:val="0041376B"/>
    <w:rsid w:val="004138D0"/>
    <w:rsid w:val="00417C3A"/>
    <w:rsid w:val="00423238"/>
    <w:rsid w:val="0042432D"/>
    <w:rsid w:val="004249E2"/>
    <w:rsid w:val="00430F37"/>
    <w:rsid w:val="004325D1"/>
    <w:rsid w:val="00451347"/>
    <w:rsid w:val="004517FB"/>
    <w:rsid w:val="00454A18"/>
    <w:rsid w:val="00454B8B"/>
    <w:rsid w:val="00454E7B"/>
    <w:rsid w:val="004557A2"/>
    <w:rsid w:val="00462586"/>
    <w:rsid w:val="0046558D"/>
    <w:rsid w:val="00465D6A"/>
    <w:rsid w:val="004760F9"/>
    <w:rsid w:val="004766AE"/>
    <w:rsid w:val="00476FA8"/>
    <w:rsid w:val="00482B2A"/>
    <w:rsid w:val="004830FE"/>
    <w:rsid w:val="004831B3"/>
    <w:rsid w:val="00483D7D"/>
    <w:rsid w:val="00486D67"/>
    <w:rsid w:val="004977F8"/>
    <w:rsid w:val="004A311B"/>
    <w:rsid w:val="004A7CB4"/>
    <w:rsid w:val="004B42AF"/>
    <w:rsid w:val="004B7AEC"/>
    <w:rsid w:val="004C7616"/>
    <w:rsid w:val="004D448E"/>
    <w:rsid w:val="004E0C82"/>
    <w:rsid w:val="004E2EBE"/>
    <w:rsid w:val="004F5A29"/>
    <w:rsid w:val="00504923"/>
    <w:rsid w:val="00505710"/>
    <w:rsid w:val="00512B5B"/>
    <w:rsid w:val="00513366"/>
    <w:rsid w:val="00514617"/>
    <w:rsid w:val="0051773D"/>
    <w:rsid w:val="0052557B"/>
    <w:rsid w:val="0052786F"/>
    <w:rsid w:val="00530A5E"/>
    <w:rsid w:val="005314EB"/>
    <w:rsid w:val="00535EAB"/>
    <w:rsid w:val="00540397"/>
    <w:rsid w:val="0054137E"/>
    <w:rsid w:val="00543B5D"/>
    <w:rsid w:val="005552DE"/>
    <w:rsid w:val="005632EB"/>
    <w:rsid w:val="005639E7"/>
    <w:rsid w:val="005648D1"/>
    <w:rsid w:val="00566083"/>
    <w:rsid w:val="005738E7"/>
    <w:rsid w:val="005770F9"/>
    <w:rsid w:val="005811D4"/>
    <w:rsid w:val="00582EDB"/>
    <w:rsid w:val="00584540"/>
    <w:rsid w:val="005854EA"/>
    <w:rsid w:val="005874B6"/>
    <w:rsid w:val="00592624"/>
    <w:rsid w:val="00592716"/>
    <w:rsid w:val="005B33B1"/>
    <w:rsid w:val="005B34FF"/>
    <w:rsid w:val="005B3D34"/>
    <w:rsid w:val="005B4C94"/>
    <w:rsid w:val="005B60D9"/>
    <w:rsid w:val="005C0620"/>
    <w:rsid w:val="005C180E"/>
    <w:rsid w:val="005C2414"/>
    <w:rsid w:val="005C43A4"/>
    <w:rsid w:val="005C5173"/>
    <w:rsid w:val="005C70C8"/>
    <w:rsid w:val="005C7E4D"/>
    <w:rsid w:val="005D0267"/>
    <w:rsid w:val="005D4A1D"/>
    <w:rsid w:val="005E1CAB"/>
    <w:rsid w:val="005F011E"/>
    <w:rsid w:val="005F49EB"/>
    <w:rsid w:val="00602AB7"/>
    <w:rsid w:val="0060302A"/>
    <w:rsid w:val="00604282"/>
    <w:rsid w:val="00614E34"/>
    <w:rsid w:val="006153CF"/>
    <w:rsid w:val="006178E8"/>
    <w:rsid w:val="00621FC4"/>
    <w:rsid w:val="00623AC4"/>
    <w:rsid w:val="00623E0F"/>
    <w:rsid w:val="006314B2"/>
    <w:rsid w:val="00631E63"/>
    <w:rsid w:val="006330D4"/>
    <w:rsid w:val="0063797B"/>
    <w:rsid w:val="00642013"/>
    <w:rsid w:val="006479BE"/>
    <w:rsid w:val="00650F25"/>
    <w:rsid w:val="00654179"/>
    <w:rsid w:val="00662C81"/>
    <w:rsid w:val="006672AD"/>
    <w:rsid w:val="006709A7"/>
    <w:rsid w:val="00672481"/>
    <w:rsid w:val="006730D4"/>
    <w:rsid w:val="00680554"/>
    <w:rsid w:val="0069073E"/>
    <w:rsid w:val="0069451D"/>
    <w:rsid w:val="00694A21"/>
    <w:rsid w:val="006A0195"/>
    <w:rsid w:val="006A2171"/>
    <w:rsid w:val="006A3C51"/>
    <w:rsid w:val="006A5567"/>
    <w:rsid w:val="006A7585"/>
    <w:rsid w:val="006B14F1"/>
    <w:rsid w:val="006B4E93"/>
    <w:rsid w:val="006B55F7"/>
    <w:rsid w:val="006B75BD"/>
    <w:rsid w:val="006B769F"/>
    <w:rsid w:val="006C40DA"/>
    <w:rsid w:val="006C5C38"/>
    <w:rsid w:val="006E7FE7"/>
    <w:rsid w:val="006F07B4"/>
    <w:rsid w:val="006F68B0"/>
    <w:rsid w:val="006F775A"/>
    <w:rsid w:val="00700DEB"/>
    <w:rsid w:val="007011BE"/>
    <w:rsid w:val="00702BED"/>
    <w:rsid w:val="00705A6B"/>
    <w:rsid w:val="00705F55"/>
    <w:rsid w:val="007110CD"/>
    <w:rsid w:val="00716FAC"/>
    <w:rsid w:val="0071700F"/>
    <w:rsid w:val="00724F12"/>
    <w:rsid w:val="00725709"/>
    <w:rsid w:val="0072631D"/>
    <w:rsid w:val="00743FDD"/>
    <w:rsid w:val="00745DB5"/>
    <w:rsid w:val="007574BA"/>
    <w:rsid w:val="007610BF"/>
    <w:rsid w:val="0077059E"/>
    <w:rsid w:val="00770F38"/>
    <w:rsid w:val="00774A93"/>
    <w:rsid w:val="00776E98"/>
    <w:rsid w:val="00781D54"/>
    <w:rsid w:val="0078416F"/>
    <w:rsid w:val="00784B86"/>
    <w:rsid w:val="00785DB3"/>
    <w:rsid w:val="00792214"/>
    <w:rsid w:val="00797111"/>
    <w:rsid w:val="007A2014"/>
    <w:rsid w:val="007A4A41"/>
    <w:rsid w:val="007A5B4E"/>
    <w:rsid w:val="007B1E30"/>
    <w:rsid w:val="007B4C59"/>
    <w:rsid w:val="007C0C42"/>
    <w:rsid w:val="007C4564"/>
    <w:rsid w:val="007C76E4"/>
    <w:rsid w:val="007D2935"/>
    <w:rsid w:val="007E0F72"/>
    <w:rsid w:val="007F2570"/>
    <w:rsid w:val="007F5446"/>
    <w:rsid w:val="007F6B72"/>
    <w:rsid w:val="00801737"/>
    <w:rsid w:val="00802AE5"/>
    <w:rsid w:val="00803EEF"/>
    <w:rsid w:val="00810077"/>
    <w:rsid w:val="00810F63"/>
    <w:rsid w:val="00812BDE"/>
    <w:rsid w:val="00823BC2"/>
    <w:rsid w:val="00826DDB"/>
    <w:rsid w:val="0082751D"/>
    <w:rsid w:val="00831F10"/>
    <w:rsid w:val="00833984"/>
    <w:rsid w:val="008349F5"/>
    <w:rsid w:val="0083598B"/>
    <w:rsid w:val="0083684F"/>
    <w:rsid w:val="00841A09"/>
    <w:rsid w:val="0084614C"/>
    <w:rsid w:val="00860BE8"/>
    <w:rsid w:val="00862BFC"/>
    <w:rsid w:val="0086594F"/>
    <w:rsid w:val="00867235"/>
    <w:rsid w:val="008676CF"/>
    <w:rsid w:val="0087255C"/>
    <w:rsid w:val="00873A18"/>
    <w:rsid w:val="00880027"/>
    <w:rsid w:val="0088281C"/>
    <w:rsid w:val="00882FAE"/>
    <w:rsid w:val="0088547B"/>
    <w:rsid w:val="00887FF6"/>
    <w:rsid w:val="008901CC"/>
    <w:rsid w:val="0089137E"/>
    <w:rsid w:val="00894FDE"/>
    <w:rsid w:val="00895A5A"/>
    <w:rsid w:val="008967BE"/>
    <w:rsid w:val="00896DC9"/>
    <w:rsid w:val="008A42DD"/>
    <w:rsid w:val="008A44AD"/>
    <w:rsid w:val="008A46CD"/>
    <w:rsid w:val="008A4B6F"/>
    <w:rsid w:val="008B00CB"/>
    <w:rsid w:val="008B6886"/>
    <w:rsid w:val="008C0623"/>
    <w:rsid w:val="008C0AE8"/>
    <w:rsid w:val="008C66BE"/>
    <w:rsid w:val="008C6851"/>
    <w:rsid w:val="008C6EFE"/>
    <w:rsid w:val="008D1D5B"/>
    <w:rsid w:val="008F3508"/>
    <w:rsid w:val="008F377C"/>
    <w:rsid w:val="008F774C"/>
    <w:rsid w:val="008F7FAE"/>
    <w:rsid w:val="00900076"/>
    <w:rsid w:val="00900137"/>
    <w:rsid w:val="00900A57"/>
    <w:rsid w:val="00901415"/>
    <w:rsid w:val="009032E2"/>
    <w:rsid w:val="00903A25"/>
    <w:rsid w:val="00904302"/>
    <w:rsid w:val="009047A5"/>
    <w:rsid w:val="00904AE2"/>
    <w:rsid w:val="00913E46"/>
    <w:rsid w:val="00917339"/>
    <w:rsid w:val="009204E1"/>
    <w:rsid w:val="00920667"/>
    <w:rsid w:val="009253E6"/>
    <w:rsid w:val="009277D0"/>
    <w:rsid w:val="00932EEE"/>
    <w:rsid w:val="009451DD"/>
    <w:rsid w:val="0095133B"/>
    <w:rsid w:val="00951B60"/>
    <w:rsid w:val="0095648E"/>
    <w:rsid w:val="00964008"/>
    <w:rsid w:val="00964B88"/>
    <w:rsid w:val="00966718"/>
    <w:rsid w:val="00967815"/>
    <w:rsid w:val="00967CFF"/>
    <w:rsid w:val="00972752"/>
    <w:rsid w:val="009731F9"/>
    <w:rsid w:val="00973681"/>
    <w:rsid w:val="00977F6C"/>
    <w:rsid w:val="00984C6B"/>
    <w:rsid w:val="00990CB4"/>
    <w:rsid w:val="00996ACE"/>
    <w:rsid w:val="00996E59"/>
    <w:rsid w:val="00997A7F"/>
    <w:rsid w:val="009A0649"/>
    <w:rsid w:val="009A2978"/>
    <w:rsid w:val="009A565A"/>
    <w:rsid w:val="009C2CF1"/>
    <w:rsid w:val="009C6D66"/>
    <w:rsid w:val="009D268C"/>
    <w:rsid w:val="009D36D3"/>
    <w:rsid w:val="009E3927"/>
    <w:rsid w:val="009E496C"/>
    <w:rsid w:val="009E7417"/>
    <w:rsid w:val="009F0677"/>
    <w:rsid w:val="009F071C"/>
    <w:rsid w:val="009F3775"/>
    <w:rsid w:val="009F7A44"/>
    <w:rsid w:val="00A02853"/>
    <w:rsid w:val="00A029E3"/>
    <w:rsid w:val="00A03A78"/>
    <w:rsid w:val="00A304C8"/>
    <w:rsid w:val="00A31E35"/>
    <w:rsid w:val="00A377AC"/>
    <w:rsid w:val="00A428C0"/>
    <w:rsid w:val="00A47B14"/>
    <w:rsid w:val="00A47F7E"/>
    <w:rsid w:val="00A52D48"/>
    <w:rsid w:val="00A54BB6"/>
    <w:rsid w:val="00A62561"/>
    <w:rsid w:val="00A66360"/>
    <w:rsid w:val="00A67BC2"/>
    <w:rsid w:val="00A7336A"/>
    <w:rsid w:val="00A77DCD"/>
    <w:rsid w:val="00A8250B"/>
    <w:rsid w:val="00A84734"/>
    <w:rsid w:val="00A8761F"/>
    <w:rsid w:val="00A9069C"/>
    <w:rsid w:val="00A90D99"/>
    <w:rsid w:val="00A92325"/>
    <w:rsid w:val="00A936E8"/>
    <w:rsid w:val="00A9439B"/>
    <w:rsid w:val="00A973FF"/>
    <w:rsid w:val="00A97C9F"/>
    <w:rsid w:val="00AA257C"/>
    <w:rsid w:val="00AA35AC"/>
    <w:rsid w:val="00AB2417"/>
    <w:rsid w:val="00AC02D8"/>
    <w:rsid w:val="00AC3177"/>
    <w:rsid w:val="00AC3DBA"/>
    <w:rsid w:val="00AC5CE2"/>
    <w:rsid w:val="00AD271F"/>
    <w:rsid w:val="00AD496C"/>
    <w:rsid w:val="00AD7F2D"/>
    <w:rsid w:val="00AE677C"/>
    <w:rsid w:val="00AF3BA9"/>
    <w:rsid w:val="00AF654A"/>
    <w:rsid w:val="00B0197E"/>
    <w:rsid w:val="00B04DC3"/>
    <w:rsid w:val="00B1074B"/>
    <w:rsid w:val="00B1212D"/>
    <w:rsid w:val="00B14981"/>
    <w:rsid w:val="00B20110"/>
    <w:rsid w:val="00B20557"/>
    <w:rsid w:val="00B22475"/>
    <w:rsid w:val="00B2343F"/>
    <w:rsid w:val="00B263DF"/>
    <w:rsid w:val="00B308A5"/>
    <w:rsid w:val="00B30E5E"/>
    <w:rsid w:val="00B370AF"/>
    <w:rsid w:val="00B44C68"/>
    <w:rsid w:val="00B44E37"/>
    <w:rsid w:val="00B4795E"/>
    <w:rsid w:val="00B518CB"/>
    <w:rsid w:val="00B52E15"/>
    <w:rsid w:val="00B619C5"/>
    <w:rsid w:val="00B6345F"/>
    <w:rsid w:val="00B64A53"/>
    <w:rsid w:val="00B702AD"/>
    <w:rsid w:val="00B702CC"/>
    <w:rsid w:val="00B7353D"/>
    <w:rsid w:val="00B737BD"/>
    <w:rsid w:val="00B74EDF"/>
    <w:rsid w:val="00B74F62"/>
    <w:rsid w:val="00B75DD4"/>
    <w:rsid w:val="00B76B63"/>
    <w:rsid w:val="00B83E55"/>
    <w:rsid w:val="00B83F90"/>
    <w:rsid w:val="00B84343"/>
    <w:rsid w:val="00B863F8"/>
    <w:rsid w:val="00B86642"/>
    <w:rsid w:val="00B91AF7"/>
    <w:rsid w:val="00B92A6C"/>
    <w:rsid w:val="00B947A5"/>
    <w:rsid w:val="00B94920"/>
    <w:rsid w:val="00B97E04"/>
    <w:rsid w:val="00BA1DDD"/>
    <w:rsid w:val="00BA2E6B"/>
    <w:rsid w:val="00BA6913"/>
    <w:rsid w:val="00BA7BCB"/>
    <w:rsid w:val="00BB1B00"/>
    <w:rsid w:val="00BB3CB0"/>
    <w:rsid w:val="00BB3DEE"/>
    <w:rsid w:val="00BB44CF"/>
    <w:rsid w:val="00BB4917"/>
    <w:rsid w:val="00BB6EFF"/>
    <w:rsid w:val="00BC1568"/>
    <w:rsid w:val="00BC5160"/>
    <w:rsid w:val="00BD0E4E"/>
    <w:rsid w:val="00BD2AEB"/>
    <w:rsid w:val="00BD5FE9"/>
    <w:rsid w:val="00BD6281"/>
    <w:rsid w:val="00BF4654"/>
    <w:rsid w:val="00BF51C7"/>
    <w:rsid w:val="00BF5DC7"/>
    <w:rsid w:val="00BF6915"/>
    <w:rsid w:val="00BF6CF9"/>
    <w:rsid w:val="00BF6F05"/>
    <w:rsid w:val="00C03AFB"/>
    <w:rsid w:val="00C04400"/>
    <w:rsid w:val="00C0443E"/>
    <w:rsid w:val="00C11FFF"/>
    <w:rsid w:val="00C14D12"/>
    <w:rsid w:val="00C20F59"/>
    <w:rsid w:val="00C23247"/>
    <w:rsid w:val="00C251FB"/>
    <w:rsid w:val="00C30123"/>
    <w:rsid w:val="00C31B81"/>
    <w:rsid w:val="00C36A63"/>
    <w:rsid w:val="00C37B81"/>
    <w:rsid w:val="00C37D55"/>
    <w:rsid w:val="00C42ABE"/>
    <w:rsid w:val="00C44712"/>
    <w:rsid w:val="00C45D19"/>
    <w:rsid w:val="00C501CC"/>
    <w:rsid w:val="00C50D21"/>
    <w:rsid w:val="00C51F35"/>
    <w:rsid w:val="00C65321"/>
    <w:rsid w:val="00C708E0"/>
    <w:rsid w:val="00C70ECA"/>
    <w:rsid w:val="00C7464F"/>
    <w:rsid w:val="00C74D09"/>
    <w:rsid w:val="00C76C25"/>
    <w:rsid w:val="00C80E70"/>
    <w:rsid w:val="00C81907"/>
    <w:rsid w:val="00C83065"/>
    <w:rsid w:val="00C84A5D"/>
    <w:rsid w:val="00C91153"/>
    <w:rsid w:val="00C936B1"/>
    <w:rsid w:val="00CA25DE"/>
    <w:rsid w:val="00CA4072"/>
    <w:rsid w:val="00CA716A"/>
    <w:rsid w:val="00CB1355"/>
    <w:rsid w:val="00CB2919"/>
    <w:rsid w:val="00CB3105"/>
    <w:rsid w:val="00CB6900"/>
    <w:rsid w:val="00CB6E64"/>
    <w:rsid w:val="00CC0F93"/>
    <w:rsid w:val="00CC45DC"/>
    <w:rsid w:val="00CD1420"/>
    <w:rsid w:val="00CD6442"/>
    <w:rsid w:val="00CD6690"/>
    <w:rsid w:val="00CE09F3"/>
    <w:rsid w:val="00CE1847"/>
    <w:rsid w:val="00CE2AAF"/>
    <w:rsid w:val="00CE60B5"/>
    <w:rsid w:val="00CF576B"/>
    <w:rsid w:val="00CF7365"/>
    <w:rsid w:val="00D03157"/>
    <w:rsid w:val="00D035B7"/>
    <w:rsid w:val="00D07777"/>
    <w:rsid w:val="00D11536"/>
    <w:rsid w:val="00D1699A"/>
    <w:rsid w:val="00D22053"/>
    <w:rsid w:val="00D36F0F"/>
    <w:rsid w:val="00D406C0"/>
    <w:rsid w:val="00D43632"/>
    <w:rsid w:val="00D47BD4"/>
    <w:rsid w:val="00D47E95"/>
    <w:rsid w:val="00D50500"/>
    <w:rsid w:val="00D54822"/>
    <w:rsid w:val="00D574A9"/>
    <w:rsid w:val="00D607F9"/>
    <w:rsid w:val="00D63C49"/>
    <w:rsid w:val="00D722B0"/>
    <w:rsid w:val="00D75A74"/>
    <w:rsid w:val="00D8096A"/>
    <w:rsid w:val="00D87939"/>
    <w:rsid w:val="00D90F94"/>
    <w:rsid w:val="00D9341E"/>
    <w:rsid w:val="00D949B2"/>
    <w:rsid w:val="00D9713C"/>
    <w:rsid w:val="00DA25B1"/>
    <w:rsid w:val="00DA3DB4"/>
    <w:rsid w:val="00DA7724"/>
    <w:rsid w:val="00DB1949"/>
    <w:rsid w:val="00DC07AE"/>
    <w:rsid w:val="00DC0C78"/>
    <w:rsid w:val="00DC10A2"/>
    <w:rsid w:val="00DC1971"/>
    <w:rsid w:val="00DD0273"/>
    <w:rsid w:val="00DD524A"/>
    <w:rsid w:val="00DD6A87"/>
    <w:rsid w:val="00DD7145"/>
    <w:rsid w:val="00DD72E1"/>
    <w:rsid w:val="00DE0719"/>
    <w:rsid w:val="00DE1D99"/>
    <w:rsid w:val="00DE5F3F"/>
    <w:rsid w:val="00DF1201"/>
    <w:rsid w:val="00DF2100"/>
    <w:rsid w:val="00E02499"/>
    <w:rsid w:val="00E03945"/>
    <w:rsid w:val="00E03F0D"/>
    <w:rsid w:val="00E1427B"/>
    <w:rsid w:val="00E30C80"/>
    <w:rsid w:val="00E36383"/>
    <w:rsid w:val="00E364F6"/>
    <w:rsid w:val="00E3671C"/>
    <w:rsid w:val="00E40EAB"/>
    <w:rsid w:val="00E43524"/>
    <w:rsid w:val="00E4793D"/>
    <w:rsid w:val="00E557CF"/>
    <w:rsid w:val="00E561E0"/>
    <w:rsid w:val="00E57DDC"/>
    <w:rsid w:val="00E61B74"/>
    <w:rsid w:val="00E670C3"/>
    <w:rsid w:val="00E73959"/>
    <w:rsid w:val="00E75585"/>
    <w:rsid w:val="00E7611D"/>
    <w:rsid w:val="00E83424"/>
    <w:rsid w:val="00E83DB6"/>
    <w:rsid w:val="00E8488A"/>
    <w:rsid w:val="00E84AD6"/>
    <w:rsid w:val="00E84B05"/>
    <w:rsid w:val="00E85CAD"/>
    <w:rsid w:val="00E87151"/>
    <w:rsid w:val="00E92E8C"/>
    <w:rsid w:val="00E935AD"/>
    <w:rsid w:val="00E94ADA"/>
    <w:rsid w:val="00E94C66"/>
    <w:rsid w:val="00E95109"/>
    <w:rsid w:val="00E960D9"/>
    <w:rsid w:val="00E97FBE"/>
    <w:rsid w:val="00EA729D"/>
    <w:rsid w:val="00EB37A7"/>
    <w:rsid w:val="00EB5BA8"/>
    <w:rsid w:val="00EB646C"/>
    <w:rsid w:val="00EB7AEF"/>
    <w:rsid w:val="00EC0389"/>
    <w:rsid w:val="00EC5BAD"/>
    <w:rsid w:val="00ED0C7A"/>
    <w:rsid w:val="00ED1933"/>
    <w:rsid w:val="00ED35E4"/>
    <w:rsid w:val="00ED75B3"/>
    <w:rsid w:val="00EE0447"/>
    <w:rsid w:val="00EF24CA"/>
    <w:rsid w:val="00EF2D34"/>
    <w:rsid w:val="00EF7F3D"/>
    <w:rsid w:val="00F038DF"/>
    <w:rsid w:val="00F07D59"/>
    <w:rsid w:val="00F20281"/>
    <w:rsid w:val="00F225D1"/>
    <w:rsid w:val="00F2610B"/>
    <w:rsid w:val="00F33BA5"/>
    <w:rsid w:val="00F41A50"/>
    <w:rsid w:val="00F42DCE"/>
    <w:rsid w:val="00F53FAE"/>
    <w:rsid w:val="00F70D63"/>
    <w:rsid w:val="00F83183"/>
    <w:rsid w:val="00F832E6"/>
    <w:rsid w:val="00F84815"/>
    <w:rsid w:val="00F90430"/>
    <w:rsid w:val="00F91D3B"/>
    <w:rsid w:val="00F95BC4"/>
    <w:rsid w:val="00FA23AE"/>
    <w:rsid w:val="00FB214D"/>
    <w:rsid w:val="00FB5F16"/>
    <w:rsid w:val="00FC08C8"/>
    <w:rsid w:val="00FC3078"/>
    <w:rsid w:val="00FC4BB1"/>
    <w:rsid w:val="00FC756B"/>
    <w:rsid w:val="00FD38BA"/>
    <w:rsid w:val="00FE0A71"/>
    <w:rsid w:val="00FE5EDA"/>
    <w:rsid w:val="00FF371B"/>
    <w:rsid w:val="00FF4B39"/>
    <w:rsid w:val="0EDC249D"/>
    <w:rsid w:val="4660C4D4"/>
    <w:rsid w:val="4F791900"/>
    <w:rsid w:val="50B88BF5"/>
    <w:rsid w:val="5BF34398"/>
    <w:rsid w:val="5DF0453B"/>
    <w:rsid w:val="73E5C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86120"/>
  <w15:chartTrackingRefBased/>
  <w15:docId w15:val="{8C0D152C-A6A1-4984-89BA-4FA1FB2A7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4F94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B49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1498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7059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link w:val="Nadpis4Char"/>
    <w:uiPriority w:val="9"/>
    <w:qFormat/>
    <w:rsid w:val="003D5D00"/>
    <w:pPr>
      <w:outlineLvl w:val="3"/>
    </w:pPr>
    <w:rPr>
      <w:rFonts w:ascii="Times New Roman" w:eastAsiaTheme="minorEastAsia" w:hAnsi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14F94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rsid w:val="00214F94"/>
    <w:rPr>
      <w:rFonts w:ascii="Cambria" w:eastAsia="Cambria" w:hAnsi="Cambria" w:cs="Times New Roman"/>
      <w:sz w:val="24"/>
      <w:szCs w:val="24"/>
    </w:rPr>
  </w:style>
  <w:style w:type="paragraph" w:styleId="Zpat">
    <w:name w:val="footer"/>
    <w:basedOn w:val="Normln"/>
    <w:link w:val="ZpatChar"/>
    <w:rsid w:val="00214F94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214F94"/>
    <w:rPr>
      <w:rFonts w:ascii="Cambria" w:eastAsia="Cambria" w:hAnsi="Cambria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14F94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214F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3D5D00"/>
    <w:rPr>
      <w:rFonts w:ascii="Times New Roman" w:eastAsiaTheme="minorEastAsia" w:hAnsi="Times New Roman" w:cs="Times New Roman"/>
      <w:b/>
      <w:bCs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3D5D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65D6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65D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65D6A"/>
    <w:rPr>
      <w:rFonts w:ascii="Cambria" w:eastAsia="Cambria" w:hAnsi="Cambri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5D6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65D6A"/>
    <w:rPr>
      <w:rFonts w:ascii="Cambria" w:eastAsia="Cambria" w:hAnsi="Cambria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65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5D6A"/>
    <w:rPr>
      <w:rFonts w:ascii="Segoe UI" w:eastAsia="Cambria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semiHidden/>
    <w:rsid w:val="00B149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Zdraznn">
    <w:name w:val="Emphasis"/>
    <w:basedOn w:val="Standardnpsmoodstavce"/>
    <w:uiPriority w:val="20"/>
    <w:qFormat/>
    <w:rsid w:val="006E7FE7"/>
    <w:rPr>
      <w:i/>
      <w:iCs/>
    </w:rPr>
  </w:style>
  <w:style w:type="character" w:customStyle="1" w:styleId="Nadpis1Char">
    <w:name w:val="Nadpis 1 Char"/>
    <w:basedOn w:val="Standardnpsmoodstavce"/>
    <w:link w:val="Nadpis1"/>
    <w:uiPriority w:val="9"/>
    <w:rsid w:val="00BB49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textovodkaz">
    <w:name w:val="Hyperlink"/>
    <w:basedOn w:val="Standardnpsmoodstavce"/>
    <w:uiPriority w:val="99"/>
    <w:unhideWhenUsed/>
    <w:rsid w:val="005738E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738E7"/>
    <w:rPr>
      <w:color w:val="605E5C"/>
      <w:shd w:val="clear" w:color="auto" w:fill="E1DFDD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7059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1A398-926F-4011-A2F3-E954121A9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4</Pages>
  <Words>1582</Words>
  <Characters>9338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Marešová Petra</dc:creator>
  <cp:keywords/>
  <dc:description/>
  <cp:lastModifiedBy>Doležalová Kateřina</cp:lastModifiedBy>
  <cp:revision>465</cp:revision>
  <cp:lastPrinted>2025-01-22T07:33:00Z</cp:lastPrinted>
  <dcterms:created xsi:type="dcterms:W3CDTF">2020-01-07T21:45:00Z</dcterms:created>
  <dcterms:modified xsi:type="dcterms:W3CDTF">2025-11-07T11:32:00Z</dcterms:modified>
</cp:coreProperties>
</file>